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70" w:lineRule="exact"/>
        <w:jc w:val="left"/>
        <w:rPr>
          <w:rFonts w:ascii="方正黑体_GBK" w:hAnsi="宋体" w:eastAsia="方正黑体_GBK" w:cs="宋体"/>
          <w:b/>
          <w:bCs/>
          <w:color w:val="000000"/>
          <w:kern w:val="0"/>
          <w:sz w:val="32"/>
          <w:szCs w:val="32"/>
        </w:rPr>
      </w:pPr>
      <w:bookmarkStart w:id="4" w:name="_GoBack"/>
      <w:bookmarkEnd w:id="4"/>
      <w:bookmarkStart w:id="0" w:name="OLE_LINK6"/>
      <w:r>
        <w:rPr>
          <w:rFonts w:hint="eastAsia" w:ascii="方正黑体_GBK" w:hAnsi="华文仿宋" w:eastAsia="方正黑体_GBK" w:cs="华文仿宋"/>
          <w:color w:val="000000"/>
          <w:kern w:val="0"/>
          <w:sz w:val="32"/>
          <w:szCs w:val="32"/>
        </w:rPr>
        <w:t>附件</w:t>
      </w:r>
    </w:p>
    <w:p>
      <w:pPr>
        <w:shd w:val="clear" w:color="auto" w:fill="FFFFFF"/>
        <w:snapToGrid w:val="0"/>
        <w:spacing w:line="440" w:lineRule="atLeast"/>
        <w:ind w:firstLine="904" w:firstLineChars="300"/>
        <w:rPr>
          <w:rFonts w:ascii="宋体" w:cs="宋体"/>
          <w:b/>
          <w:bCs/>
          <w:color w:val="000000"/>
          <w:kern w:val="0"/>
          <w:sz w:val="30"/>
          <w:szCs w:val="30"/>
        </w:rPr>
      </w:pPr>
    </w:p>
    <w:p>
      <w:pPr>
        <w:shd w:val="clear" w:color="auto" w:fill="FFFFFF"/>
        <w:snapToGrid w:val="0"/>
        <w:spacing w:line="440" w:lineRule="atLeast"/>
        <w:jc w:val="center"/>
        <w:rPr>
          <w:rFonts w:ascii="方正小标宋_GBK" w:hAnsi="宋体" w:eastAsia="方正小标宋_GBK" w:cs="宋体"/>
          <w:bCs/>
          <w:color w:val="000000"/>
          <w:kern w:val="0"/>
          <w:sz w:val="36"/>
          <w:szCs w:val="36"/>
        </w:rPr>
      </w:pPr>
      <w:r>
        <w:rPr>
          <w:rFonts w:hint="eastAsia" w:ascii="方正小标宋_GBK" w:hAnsi="宋体" w:eastAsia="方正小标宋_GBK" w:cs="宋体"/>
          <w:bCs/>
          <w:color w:val="000000"/>
          <w:kern w:val="0"/>
          <w:sz w:val="36"/>
          <w:szCs w:val="36"/>
        </w:rPr>
        <w:t>江苏省工程造价咨询企业信用评价办法</w:t>
      </w:r>
    </w:p>
    <w:p>
      <w:pPr>
        <w:shd w:val="clear" w:color="auto" w:fill="FFFFFF"/>
        <w:snapToGrid w:val="0"/>
        <w:spacing w:line="440" w:lineRule="atLeast"/>
        <w:ind w:firstLine="1800" w:firstLineChars="600"/>
        <w:rPr>
          <w:rFonts w:eastAsia="方正仿宋_GBK" w:cs="华文仿宋"/>
          <w:color w:val="000000"/>
          <w:kern w:val="0"/>
          <w:sz w:val="30"/>
          <w:szCs w:val="30"/>
        </w:rPr>
      </w:pPr>
      <w:r>
        <w:rPr>
          <w:rFonts w:hint="eastAsia" w:eastAsia="方正仿宋_GBK" w:cs="华文仿宋"/>
          <w:color w:val="000000"/>
          <w:kern w:val="0"/>
          <w:sz w:val="30"/>
          <w:szCs w:val="30"/>
        </w:rPr>
        <w:t>（</w:t>
      </w:r>
      <w:r>
        <w:rPr>
          <w:rFonts w:eastAsia="方正仿宋_GBK" w:cs="华文仿宋"/>
          <w:color w:val="000000"/>
          <w:kern w:val="0"/>
          <w:sz w:val="30"/>
          <w:szCs w:val="30"/>
        </w:rPr>
        <w:t>2020</w:t>
      </w:r>
      <w:r>
        <w:rPr>
          <w:rFonts w:hint="eastAsia" w:eastAsia="方正仿宋_GBK" w:cs="华文仿宋"/>
          <w:color w:val="000000"/>
          <w:kern w:val="0"/>
          <w:sz w:val="30"/>
          <w:szCs w:val="30"/>
        </w:rPr>
        <w:t>年</w:t>
      </w:r>
      <w:r>
        <w:rPr>
          <w:rFonts w:eastAsia="方正仿宋_GBK" w:cs="华文仿宋"/>
          <w:color w:val="000000"/>
          <w:kern w:val="0"/>
          <w:sz w:val="30"/>
          <w:szCs w:val="30"/>
        </w:rPr>
        <w:t>8</w:t>
      </w:r>
      <w:r>
        <w:rPr>
          <w:rFonts w:hint="eastAsia" w:eastAsia="方正仿宋_GBK" w:cs="华文仿宋"/>
          <w:color w:val="000000"/>
          <w:kern w:val="0"/>
          <w:sz w:val="30"/>
          <w:szCs w:val="30"/>
        </w:rPr>
        <w:t>月</w:t>
      </w:r>
      <w:r>
        <w:rPr>
          <w:rFonts w:eastAsia="方正仿宋_GBK" w:cs="华文仿宋"/>
          <w:color w:val="000000"/>
          <w:kern w:val="0"/>
          <w:sz w:val="30"/>
          <w:szCs w:val="30"/>
        </w:rPr>
        <w:t>24</w:t>
      </w:r>
      <w:r>
        <w:rPr>
          <w:rFonts w:hint="eastAsia" w:eastAsia="方正仿宋_GBK" w:cs="华文仿宋"/>
          <w:color w:val="000000"/>
          <w:kern w:val="0"/>
          <w:sz w:val="30"/>
          <w:szCs w:val="30"/>
        </w:rPr>
        <w:t>日第四次修订）</w:t>
      </w:r>
    </w:p>
    <w:p>
      <w:pPr>
        <w:shd w:val="clear" w:color="auto" w:fill="FFFFFF"/>
        <w:snapToGrid w:val="0"/>
        <w:spacing w:line="440" w:lineRule="atLeast"/>
        <w:ind w:firstLine="600" w:firstLineChars="200"/>
        <w:rPr>
          <w:rFonts w:eastAsia="方正仿宋_GBK" w:cs="华文仿宋"/>
          <w:color w:val="000000"/>
          <w:kern w:val="0"/>
          <w:sz w:val="30"/>
          <w:szCs w:val="30"/>
        </w:rPr>
      </w:pPr>
    </w:p>
    <w:p>
      <w:pPr>
        <w:shd w:val="clear" w:color="auto" w:fill="FFFFFF"/>
        <w:snapToGrid w:val="0"/>
        <w:spacing w:line="440" w:lineRule="atLeast"/>
        <w:ind w:firstLine="602" w:firstLineChars="200"/>
        <w:rPr>
          <w:rFonts w:eastAsia="方正仿宋_GBK" w:cs="华文仿宋"/>
          <w:b/>
          <w:bCs/>
          <w:color w:val="000000"/>
          <w:kern w:val="0"/>
          <w:sz w:val="30"/>
          <w:szCs w:val="30"/>
        </w:rPr>
      </w:pPr>
    </w:p>
    <w:p>
      <w:pPr>
        <w:shd w:val="clear" w:color="auto" w:fill="FFFFFF"/>
        <w:snapToGrid w:val="0"/>
        <w:spacing w:line="440" w:lineRule="atLeast"/>
        <w:ind w:firstLine="602" w:firstLineChars="200"/>
        <w:rPr>
          <w:rFonts w:eastAsia="方正仿宋_GBK" w:cs="华文仿宋"/>
          <w:color w:val="000000"/>
          <w:kern w:val="0"/>
          <w:sz w:val="30"/>
          <w:szCs w:val="30"/>
        </w:rPr>
      </w:pPr>
      <w:r>
        <w:rPr>
          <w:rFonts w:hint="eastAsia" w:eastAsia="方正仿宋_GBK" w:cs="华文仿宋"/>
          <w:b/>
          <w:bCs/>
          <w:color w:val="000000"/>
          <w:kern w:val="0"/>
          <w:sz w:val="30"/>
          <w:szCs w:val="30"/>
        </w:rPr>
        <w:t>第一条</w:t>
      </w:r>
      <w:r>
        <w:rPr>
          <w:rFonts w:eastAsia="方正仿宋_GBK" w:cs="华文仿宋"/>
          <w:b/>
          <w:bCs/>
          <w:color w:val="000000"/>
          <w:kern w:val="0"/>
          <w:sz w:val="30"/>
          <w:szCs w:val="30"/>
        </w:rPr>
        <w:t xml:space="preserve"> </w:t>
      </w:r>
      <w:r>
        <w:rPr>
          <w:rFonts w:hint="eastAsia" w:eastAsia="方正仿宋_GBK" w:cs="华文仿宋"/>
          <w:color w:val="000000"/>
          <w:kern w:val="0"/>
          <w:sz w:val="30"/>
          <w:szCs w:val="30"/>
        </w:rPr>
        <w:t>为了提高行业信用，促进行业自律，推动行业进步，推进我省工程造价咨询行业信用体系建设，引导工程造价咨询企业提升信用水平和履约能力</w:t>
      </w:r>
      <w:bookmarkStart w:id="1" w:name="_Toc18094"/>
      <w:bookmarkStart w:id="2" w:name="_Toc15891"/>
      <w:bookmarkStart w:id="3" w:name="_Toc27043"/>
      <w:r>
        <w:rPr>
          <w:rFonts w:hint="eastAsia" w:eastAsia="方正仿宋_GBK" w:cs="华文仿宋"/>
          <w:color w:val="000000"/>
          <w:kern w:val="0"/>
          <w:sz w:val="30"/>
          <w:szCs w:val="30"/>
        </w:rPr>
        <w:t>，</w:t>
      </w:r>
      <w:bookmarkEnd w:id="1"/>
      <w:bookmarkEnd w:id="2"/>
      <w:bookmarkEnd w:id="3"/>
      <w:r>
        <w:rPr>
          <w:rFonts w:hint="eastAsia" w:eastAsia="方正仿宋_GBK" w:cs="华文仿宋"/>
          <w:color w:val="000000"/>
          <w:kern w:val="0"/>
          <w:sz w:val="30"/>
          <w:szCs w:val="30"/>
        </w:rPr>
        <w:t>根据省政府办公厅《关于加快推进社会信用体系建设构建以信用为基础的新型监管机制的实施意见》（苏政办发〔</w:t>
      </w:r>
      <w:r>
        <w:rPr>
          <w:rFonts w:eastAsia="方正仿宋_GBK" w:cs="华文仿宋"/>
          <w:color w:val="000000"/>
          <w:kern w:val="0"/>
          <w:sz w:val="30"/>
          <w:szCs w:val="30"/>
        </w:rPr>
        <w:t>2020</w:t>
      </w:r>
      <w:r>
        <w:rPr>
          <w:rFonts w:hint="eastAsia" w:eastAsia="方正仿宋_GBK" w:cs="华文仿宋"/>
          <w:color w:val="000000"/>
          <w:kern w:val="0"/>
          <w:sz w:val="30"/>
          <w:szCs w:val="30"/>
        </w:rPr>
        <w:t>〕</w:t>
      </w:r>
      <w:r>
        <w:rPr>
          <w:rFonts w:eastAsia="方正仿宋_GBK" w:cs="华文仿宋"/>
          <w:color w:val="000000"/>
          <w:kern w:val="0"/>
          <w:sz w:val="30"/>
          <w:szCs w:val="30"/>
        </w:rPr>
        <w:t>10</w:t>
      </w:r>
      <w:r>
        <w:rPr>
          <w:rFonts w:hint="eastAsia" w:eastAsia="方正仿宋_GBK" w:cs="华文仿宋"/>
          <w:color w:val="000000"/>
          <w:kern w:val="0"/>
          <w:sz w:val="30"/>
          <w:szCs w:val="30"/>
        </w:rPr>
        <w:t>号）、国家民政部等八部门</w:t>
      </w:r>
      <w:r>
        <w:rPr>
          <w:rFonts w:hint="eastAsia" w:eastAsia="方正仿宋_GBK" w:cs="华文仿宋"/>
          <w:bCs/>
          <w:color w:val="000000"/>
          <w:kern w:val="0"/>
          <w:sz w:val="30"/>
          <w:szCs w:val="30"/>
        </w:rPr>
        <w:t>《关于推进行业协会商会诚信自律建设工作的意见》（民发〔</w:t>
      </w:r>
      <w:r>
        <w:rPr>
          <w:rFonts w:eastAsia="方正仿宋_GBK" w:cs="华文仿宋"/>
          <w:bCs/>
          <w:color w:val="000000"/>
          <w:kern w:val="0"/>
          <w:sz w:val="30"/>
          <w:szCs w:val="30"/>
        </w:rPr>
        <w:t>2014</w:t>
      </w:r>
      <w:r>
        <w:rPr>
          <w:rFonts w:hint="eastAsia" w:eastAsia="方正仿宋_GBK" w:cs="华文仿宋"/>
          <w:bCs/>
          <w:color w:val="000000"/>
          <w:kern w:val="0"/>
          <w:sz w:val="30"/>
          <w:szCs w:val="30"/>
        </w:rPr>
        <w:t>〕</w:t>
      </w:r>
      <w:r>
        <w:rPr>
          <w:rFonts w:eastAsia="方正仿宋_GBK" w:cs="华文仿宋"/>
          <w:bCs/>
          <w:color w:val="000000"/>
          <w:kern w:val="0"/>
          <w:sz w:val="30"/>
          <w:szCs w:val="30"/>
        </w:rPr>
        <w:t>225</w:t>
      </w:r>
      <w:r>
        <w:rPr>
          <w:rFonts w:hint="eastAsia" w:eastAsia="方正仿宋_GBK" w:cs="华文仿宋"/>
          <w:bCs/>
          <w:color w:val="000000"/>
          <w:kern w:val="0"/>
          <w:sz w:val="30"/>
          <w:szCs w:val="30"/>
        </w:rPr>
        <w:t>号）、国家住房和城乡建设部《关于进一步推进工程造价管理改革的指导意见》（建标〔</w:t>
      </w:r>
      <w:r>
        <w:rPr>
          <w:rFonts w:eastAsia="方正仿宋_GBK" w:cs="华文仿宋"/>
          <w:bCs/>
          <w:color w:val="000000"/>
          <w:kern w:val="0"/>
          <w:sz w:val="30"/>
          <w:szCs w:val="30"/>
        </w:rPr>
        <w:t>2014</w:t>
      </w:r>
      <w:r>
        <w:rPr>
          <w:rFonts w:hint="eastAsia" w:eastAsia="方正仿宋_GBK" w:cs="华文仿宋"/>
          <w:bCs/>
          <w:color w:val="000000"/>
          <w:kern w:val="0"/>
          <w:sz w:val="30"/>
          <w:szCs w:val="30"/>
        </w:rPr>
        <w:t>〕</w:t>
      </w:r>
      <w:r>
        <w:rPr>
          <w:rFonts w:eastAsia="方正仿宋_GBK" w:cs="华文仿宋"/>
          <w:bCs/>
          <w:color w:val="000000"/>
          <w:kern w:val="0"/>
          <w:sz w:val="30"/>
          <w:szCs w:val="30"/>
        </w:rPr>
        <w:t>142</w:t>
      </w:r>
      <w:r>
        <w:rPr>
          <w:rFonts w:hint="eastAsia" w:eastAsia="方正仿宋_GBK" w:cs="华文仿宋"/>
          <w:bCs/>
          <w:color w:val="000000"/>
          <w:kern w:val="0"/>
          <w:sz w:val="30"/>
          <w:szCs w:val="30"/>
        </w:rPr>
        <w:t>号）</w:t>
      </w:r>
      <w:r>
        <w:rPr>
          <w:rFonts w:hint="eastAsia" w:eastAsia="方正仿宋_GBK" w:cs="华文仿宋"/>
          <w:color w:val="000000"/>
          <w:kern w:val="0"/>
          <w:sz w:val="30"/>
          <w:szCs w:val="30"/>
        </w:rPr>
        <w:t>的要求，结合本省实际制订本办法。</w:t>
      </w:r>
    </w:p>
    <w:p>
      <w:pPr>
        <w:shd w:val="clear" w:color="auto" w:fill="FFFFFF"/>
        <w:snapToGrid w:val="0"/>
        <w:spacing w:line="440" w:lineRule="atLeast"/>
        <w:ind w:firstLine="602" w:firstLineChars="200"/>
        <w:rPr>
          <w:rFonts w:eastAsia="方正仿宋_GBK" w:cs="华文仿宋"/>
          <w:color w:val="000000"/>
          <w:kern w:val="0"/>
          <w:sz w:val="30"/>
          <w:szCs w:val="30"/>
        </w:rPr>
      </w:pPr>
      <w:r>
        <w:rPr>
          <w:rFonts w:hint="eastAsia" w:eastAsia="方正仿宋_GBK" w:cs="华文仿宋"/>
          <w:b/>
          <w:bCs/>
          <w:color w:val="000000"/>
          <w:kern w:val="0"/>
          <w:sz w:val="30"/>
          <w:szCs w:val="30"/>
        </w:rPr>
        <w:t>第二条</w:t>
      </w:r>
      <w:r>
        <w:rPr>
          <w:rFonts w:eastAsia="方正仿宋_GBK" w:cs="华文仿宋"/>
          <w:b/>
          <w:bCs/>
          <w:color w:val="000000"/>
          <w:kern w:val="0"/>
          <w:sz w:val="30"/>
          <w:szCs w:val="30"/>
        </w:rPr>
        <w:t xml:space="preserve"> </w:t>
      </w:r>
      <w:r>
        <w:rPr>
          <w:rFonts w:hint="eastAsia" w:eastAsia="方正仿宋_GBK" w:cs="华文仿宋"/>
          <w:color w:val="000000"/>
          <w:kern w:val="0"/>
          <w:sz w:val="30"/>
          <w:szCs w:val="30"/>
        </w:rPr>
        <w:t>工程造价咨询企业的信用，是企业履约能力、履约意愿和历史信用记录的综合反映，是企业能够履行承诺取得信任的程度。</w:t>
      </w:r>
    </w:p>
    <w:p>
      <w:pPr>
        <w:shd w:val="clear" w:color="auto" w:fill="FFFFFF"/>
        <w:snapToGrid w:val="0"/>
        <w:spacing w:line="440" w:lineRule="atLeast"/>
        <w:rPr>
          <w:rFonts w:eastAsia="方正仿宋_GBK" w:cs="华文仿宋"/>
          <w:color w:val="000000"/>
          <w:kern w:val="0"/>
          <w:sz w:val="30"/>
          <w:szCs w:val="30"/>
        </w:rPr>
      </w:pPr>
      <w:r>
        <w:rPr>
          <w:rFonts w:eastAsia="方正仿宋_GBK" w:cs="华文仿宋"/>
          <w:color w:val="000000"/>
          <w:kern w:val="0"/>
          <w:sz w:val="30"/>
          <w:szCs w:val="30"/>
        </w:rPr>
        <w:t xml:space="preserve">    </w:t>
      </w:r>
      <w:r>
        <w:rPr>
          <w:rFonts w:hint="eastAsia" w:eastAsia="方正仿宋_GBK" w:cs="华文仿宋"/>
          <w:color w:val="000000"/>
          <w:kern w:val="0"/>
          <w:sz w:val="30"/>
          <w:szCs w:val="30"/>
        </w:rPr>
        <w:t>本办法所称信用评价，是指行业社团组织对造价咨询企业的资产信用、资质信用、经营业绩、社会保险责任、咨询管理信用、咨询成果质量信用、咨询档案信用、企业统计信用、行业责任信用、企业历史信用记录等有关信息进行采集、记录、发布、评价和信用等级确定等相关活动。</w:t>
      </w:r>
      <w:r>
        <w:rPr>
          <w:rFonts w:eastAsia="方正仿宋_GBK" w:cs="华文仿宋"/>
          <w:color w:val="000000"/>
          <w:kern w:val="0"/>
          <w:sz w:val="30"/>
          <w:szCs w:val="30"/>
        </w:rPr>
        <w:t xml:space="preserve">   </w:t>
      </w:r>
    </w:p>
    <w:p>
      <w:pPr>
        <w:shd w:val="clear" w:color="auto" w:fill="FFFFFF"/>
        <w:snapToGrid w:val="0"/>
        <w:spacing w:line="440" w:lineRule="atLeast"/>
        <w:ind w:firstLine="600"/>
        <w:rPr>
          <w:rFonts w:eastAsia="方正仿宋_GBK" w:cs="华文仿宋"/>
          <w:color w:val="000000"/>
          <w:kern w:val="0"/>
          <w:sz w:val="30"/>
          <w:szCs w:val="30"/>
        </w:rPr>
      </w:pPr>
      <w:r>
        <w:rPr>
          <w:rFonts w:hint="eastAsia" w:eastAsia="方正仿宋_GBK" w:cs="华文仿宋"/>
          <w:b/>
          <w:bCs/>
          <w:color w:val="000000"/>
          <w:kern w:val="0"/>
          <w:sz w:val="30"/>
          <w:szCs w:val="30"/>
        </w:rPr>
        <w:t>第三条</w:t>
      </w:r>
      <w:r>
        <w:rPr>
          <w:rFonts w:eastAsia="方正仿宋_GBK" w:cs="华文仿宋"/>
          <w:b/>
          <w:bCs/>
          <w:color w:val="000000"/>
          <w:kern w:val="0"/>
          <w:sz w:val="30"/>
          <w:szCs w:val="30"/>
        </w:rPr>
        <w:t xml:space="preserve"> </w:t>
      </w:r>
      <w:r>
        <w:rPr>
          <w:rFonts w:hint="eastAsia" w:eastAsia="方正仿宋_GBK" w:cs="华文仿宋"/>
          <w:color w:val="000000"/>
          <w:kern w:val="0"/>
          <w:sz w:val="30"/>
          <w:szCs w:val="30"/>
        </w:rPr>
        <w:t>本办法适用于江苏省工程造价管理协会会员企业的信用评价。</w:t>
      </w:r>
    </w:p>
    <w:p>
      <w:pPr>
        <w:shd w:val="clear" w:color="auto" w:fill="FFFFFF"/>
        <w:snapToGrid w:val="0"/>
        <w:spacing w:line="440" w:lineRule="atLeast"/>
        <w:ind w:firstLine="600"/>
        <w:rPr>
          <w:rFonts w:eastAsia="方正仿宋_GBK" w:cs="华文仿宋"/>
          <w:color w:val="000000"/>
          <w:kern w:val="0"/>
          <w:sz w:val="30"/>
          <w:szCs w:val="30"/>
        </w:rPr>
      </w:pPr>
      <w:r>
        <w:rPr>
          <w:rFonts w:hint="eastAsia" w:eastAsia="方正仿宋_GBK" w:cs="华文仿宋"/>
          <w:color w:val="000000"/>
          <w:kern w:val="0"/>
          <w:sz w:val="30"/>
          <w:szCs w:val="30"/>
        </w:rPr>
        <w:t>信用评价实行申请自愿、评价公开、信息共享。</w:t>
      </w:r>
    </w:p>
    <w:p>
      <w:pPr>
        <w:shd w:val="clear" w:color="auto" w:fill="FFFFFF"/>
        <w:snapToGrid w:val="0"/>
        <w:spacing w:line="440" w:lineRule="atLeast"/>
        <w:ind w:firstLine="600"/>
        <w:rPr>
          <w:rFonts w:eastAsia="方正仿宋_GBK" w:cs="华文仿宋"/>
          <w:color w:val="000000"/>
          <w:kern w:val="0"/>
          <w:sz w:val="30"/>
          <w:szCs w:val="30"/>
        </w:rPr>
      </w:pPr>
      <w:r>
        <w:rPr>
          <w:rFonts w:hint="eastAsia" w:eastAsia="方正仿宋_GBK" w:cs="华文仿宋"/>
          <w:color w:val="000000"/>
          <w:kern w:val="0"/>
          <w:sz w:val="30"/>
          <w:szCs w:val="30"/>
        </w:rPr>
        <w:t>信用评价活动接受主管部门和造价管理机构的指导，接受社会监督。</w:t>
      </w:r>
      <w:r>
        <w:rPr>
          <w:rFonts w:eastAsia="方正仿宋_GBK" w:cs="华文仿宋"/>
          <w:color w:val="000000"/>
          <w:kern w:val="0"/>
          <w:sz w:val="30"/>
          <w:szCs w:val="30"/>
        </w:rPr>
        <w:t xml:space="preserve">    </w:t>
      </w:r>
    </w:p>
    <w:p>
      <w:pPr>
        <w:shd w:val="clear" w:color="auto" w:fill="FFFFFF"/>
        <w:snapToGrid w:val="0"/>
        <w:spacing w:line="440" w:lineRule="atLeast"/>
        <w:ind w:firstLine="602" w:firstLineChars="200"/>
        <w:rPr>
          <w:rFonts w:eastAsia="方正仿宋_GBK" w:cs="华文仿宋"/>
          <w:color w:val="000000"/>
          <w:kern w:val="0"/>
          <w:sz w:val="30"/>
          <w:szCs w:val="30"/>
        </w:rPr>
      </w:pPr>
      <w:r>
        <w:rPr>
          <w:rFonts w:hint="eastAsia" w:eastAsia="方正仿宋_GBK" w:cs="华文仿宋"/>
          <w:b/>
          <w:bCs/>
          <w:color w:val="000000"/>
          <w:kern w:val="0"/>
          <w:sz w:val="30"/>
          <w:szCs w:val="30"/>
        </w:rPr>
        <w:t>第四条</w:t>
      </w:r>
      <w:r>
        <w:rPr>
          <w:rFonts w:eastAsia="方正仿宋_GBK" w:cs="华文仿宋"/>
          <w:b/>
          <w:bCs/>
          <w:color w:val="000000"/>
          <w:kern w:val="0"/>
          <w:sz w:val="30"/>
          <w:szCs w:val="30"/>
        </w:rPr>
        <w:t xml:space="preserve"> </w:t>
      </w:r>
      <w:r>
        <w:rPr>
          <w:rFonts w:hint="eastAsia" w:eastAsia="方正仿宋_GBK" w:cs="华文仿宋"/>
          <w:color w:val="000000"/>
          <w:kern w:val="0"/>
          <w:sz w:val="30"/>
          <w:szCs w:val="30"/>
        </w:rPr>
        <w:t>经工商部门注册登记，依法取得营业执照满</w:t>
      </w:r>
      <w:r>
        <w:rPr>
          <w:rFonts w:eastAsia="方正仿宋_GBK" w:cs="华文仿宋"/>
          <w:color w:val="000000"/>
          <w:kern w:val="0"/>
          <w:sz w:val="30"/>
          <w:szCs w:val="30"/>
        </w:rPr>
        <w:t>1</w:t>
      </w:r>
      <w:r>
        <w:rPr>
          <w:rFonts w:hint="eastAsia" w:eastAsia="方正仿宋_GBK" w:cs="华文仿宋"/>
          <w:color w:val="000000"/>
          <w:kern w:val="0"/>
          <w:sz w:val="30"/>
          <w:szCs w:val="30"/>
        </w:rPr>
        <w:t>年及其以上，并具有工程造价咨询甲级资质或乙级（不含暂定期）资质的省工程造价管理协会会员企业，自愿申请信用评价。</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申请参加信用评价企业应按本办法的规定提供有关评价资料和证明性材料，承诺对评价资料和证明性材料的真实性负责。</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工程造价咨询企业申请信用评价，其分支机构的良好行为和不良行为纳入企业法人一并评价。</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申请参加信用评价企业弄虚作假，提供虚假评价资料和证明性材料，作为严重失信行为，承担相应评价责任。</w:t>
      </w:r>
      <w:r>
        <w:rPr>
          <w:rFonts w:eastAsia="方正仿宋_GBK" w:cs="华文仿宋"/>
          <w:color w:val="000000"/>
          <w:kern w:val="0"/>
          <w:sz w:val="30"/>
          <w:szCs w:val="30"/>
        </w:rPr>
        <w:t xml:space="preserve"> </w:t>
      </w:r>
    </w:p>
    <w:p>
      <w:pPr>
        <w:shd w:val="clear" w:color="auto" w:fill="FFFFFF"/>
        <w:snapToGrid w:val="0"/>
        <w:spacing w:line="440" w:lineRule="atLeast"/>
        <w:rPr>
          <w:rFonts w:eastAsia="方正仿宋_GBK" w:cs="华文仿宋"/>
          <w:color w:val="000000"/>
          <w:kern w:val="0"/>
          <w:sz w:val="30"/>
          <w:szCs w:val="30"/>
        </w:rPr>
      </w:pPr>
      <w:r>
        <w:rPr>
          <w:rFonts w:eastAsia="方正仿宋_GBK" w:cs="华文仿宋"/>
          <w:color w:val="000000"/>
          <w:kern w:val="0"/>
          <w:sz w:val="30"/>
          <w:szCs w:val="30"/>
        </w:rPr>
        <w:t xml:space="preserve">  </w:t>
      </w:r>
      <w:r>
        <w:rPr>
          <w:rFonts w:eastAsia="方正仿宋_GBK" w:cs="华文仿宋"/>
          <w:b/>
          <w:bCs/>
          <w:color w:val="000000"/>
          <w:kern w:val="0"/>
          <w:sz w:val="30"/>
          <w:szCs w:val="30"/>
        </w:rPr>
        <w:t xml:space="preserve"> </w:t>
      </w:r>
      <w:r>
        <w:rPr>
          <w:rFonts w:hint="eastAsia" w:eastAsia="方正仿宋_GBK" w:cs="华文仿宋"/>
          <w:b/>
          <w:bCs/>
          <w:color w:val="000000"/>
          <w:kern w:val="0"/>
          <w:sz w:val="30"/>
          <w:szCs w:val="30"/>
        </w:rPr>
        <w:t>第五条</w:t>
      </w:r>
      <w:r>
        <w:rPr>
          <w:rFonts w:eastAsia="方正仿宋_GBK" w:cs="华文仿宋"/>
          <w:b/>
          <w:bCs/>
          <w:color w:val="000000"/>
          <w:kern w:val="0"/>
          <w:sz w:val="30"/>
          <w:szCs w:val="30"/>
        </w:rPr>
        <w:t xml:space="preserve"> </w:t>
      </w:r>
      <w:r>
        <w:rPr>
          <w:rFonts w:hint="eastAsia" w:eastAsia="方正仿宋_GBK" w:cs="华文仿宋"/>
          <w:color w:val="000000"/>
          <w:kern w:val="0"/>
          <w:sz w:val="30"/>
          <w:szCs w:val="30"/>
        </w:rPr>
        <w:t>信用评价的基本依据：</w:t>
      </w:r>
    </w:p>
    <w:p>
      <w:pPr>
        <w:shd w:val="clear" w:color="auto" w:fill="FFFFFF"/>
        <w:snapToGrid w:val="0"/>
        <w:spacing w:line="440" w:lineRule="atLeast"/>
        <w:ind w:firstLine="300" w:firstLineChars="100"/>
        <w:rPr>
          <w:rFonts w:eastAsia="方正仿宋_GBK" w:cs="华文仿宋"/>
          <w:color w:val="000000"/>
          <w:kern w:val="0"/>
          <w:sz w:val="30"/>
          <w:szCs w:val="30"/>
        </w:rPr>
      </w:pPr>
      <w:r>
        <w:rPr>
          <w:rFonts w:hint="eastAsia" w:eastAsia="方正仿宋_GBK" w:cs="华文仿宋"/>
          <w:color w:val="000000"/>
          <w:kern w:val="0"/>
          <w:sz w:val="30"/>
          <w:szCs w:val="30"/>
        </w:rPr>
        <w:t>（一）国家有关法律、法规、规章；</w:t>
      </w:r>
    </w:p>
    <w:p>
      <w:pPr>
        <w:shd w:val="clear" w:color="auto" w:fill="FFFFFF"/>
        <w:snapToGrid w:val="0"/>
        <w:spacing w:line="440" w:lineRule="atLeast"/>
        <w:ind w:firstLine="300" w:firstLineChars="100"/>
        <w:rPr>
          <w:rFonts w:eastAsia="方正仿宋_GBK" w:cs="华文仿宋"/>
          <w:color w:val="000000"/>
          <w:kern w:val="0"/>
          <w:sz w:val="30"/>
          <w:szCs w:val="30"/>
        </w:rPr>
      </w:pPr>
      <w:r>
        <w:rPr>
          <w:rFonts w:hint="eastAsia" w:eastAsia="方正仿宋_GBK" w:cs="华文仿宋"/>
          <w:color w:val="000000"/>
          <w:kern w:val="0"/>
          <w:sz w:val="30"/>
          <w:szCs w:val="30"/>
        </w:rPr>
        <w:t>（二）政府、政府部门有关规范性文件、规定，表彰、表扬、奖励文书；</w:t>
      </w:r>
    </w:p>
    <w:p>
      <w:pPr>
        <w:shd w:val="clear" w:color="auto" w:fill="FFFFFF"/>
        <w:snapToGrid w:val="0"/>
        <w:spacing w:line="440" w:lineRule="atLeast"/>
        <w:rPr>
          <w:rFonts w:eastAsia="方正仿宋_GBK" w:cs="华文仿宋"/>
          <w:color w:val="000000"/>
          <w:kern w:val="0"/>
          <w:sz w:val="30"/>
          <w:szCs w:val="30"/>
        </w:rPr>
      </w:pPr>
      <w:r>
        <w:rPr>
          <w:rFonts w:eastAsia="方正仿宋_GBK" w:cs="华文仿宋"/>
          <w:color w:val="000000"/>
          <w:kern w:val="0"/>
          <w:sz w:val="30"/>
          <w:szCs w:val="30"/>
        </w:rPr>
        <w:t xml:space="preserve">  </w:t>
      </w:r>
      <w:r>
        <w:rPr>
          <w:rFonts w:hint="eastAsia" w:eastAsia="方正仿宋_GBK" w:cs="华文仿宋"/>
          <w:color w:val="000000"/>
          <w:kern w:val="0"/>
          <w:sz w:val="30"/>
          <w:szCs w:val="30"/>
        </w:rPr>
        <w:t>（三）国家、地方和行业有关工程造价咨询的规范、标准、规程、规则；</w:t>
      </w:r>
    </w:p>
    <w:p>
      <w:pPr>
        <w:shd w:val="clear" w:color="auto" w:fill="FFFFFF"/>
        <w:snapToGrid w:val="0"/>
        <w:spacing w:line="440" w:lineRule="atLeast"/>
        <w:ind w:firstLine="300" w:firstLineChars="100"/>
        <w:rPr>
          <w:rFonts w:eastAsia="方正仿宋_GBK" w:cs="华文仿宋"/>
          <w:color w:val="000000"/>
          <w:kern w:val="0"/>
          <w:sz w:val="30"/>
          <w:szCs w:val="30"/>
        </w:rPr>
      </w:pPr>
      <w:r>
        <w:rPr>
          <w:rFonts w:hint="eastAsia" w:eastAsia="方正仿宋_GBK" w:cs="华文仿宋"/>
          <w:color w:val="000000"/>
          <w:kern w:val="0"/>
          <w:sz w:val="30"/>
          <w:szCs w:val="30"/>
        </w:rPr>
        <w:t>（四）国家工程造价咨询统计报表制度；</w:t>
      </w:r>
    </w:p>
    <w:p>
      <w:pPr>
        <w:shd w:val="clear" w:color="auto" w:fill="FFFFFF"/>
        <w:snapToGrid w:val="0"/>
        <w:spacing w:line="440" w:lineRule="atLeast"/>
        <w:ind w:firstLine="300" w:firstLineChars="100"/>
        <w:rPr>
          <w:rFonts w:eastAsia="方正仿宋_GBK" w:cs="华文仿宋"/>
          <w:color w:val="000000"/>
          <w:kern w:val="0"/>
          <w:sz w:val="30"/>
          <w:szCs w:val="30"/>
        </w:rPr>
      </w:pPr>
      <w:r>
        <w:rPr>
          <w:rFonts w:hint="eastAsia" w:eastAsia="方正仿宋_GBK" w:cs="华文仿宋"/>
          <w:color w:val="000000"/>
          <w:kern w:val="0"/>
          <w:sz w:val="30"/>
          <w:szCs w:val="30"/>
        </w:rPr>
        <w:t>（五）各级工程造价管理机构咨询监管系统中的有关信息；</w:t>
      </w:r>
    </w:p>
    <w:p>
      <w:pPr>
        <w:shd w:val="clear" w:color="auto" w:fill="FFFFFF"/>
        <w:snapToGrid w:val="0"/>
        <w:spacing w:line="440" w:lineRule="atLeast"/>
        <w:ind w:firstLine="300" w:firstLineChars="100"/>
        <w:rPr>
          <w:rFonts w:eastAsia="方正仿宋_GBK" w:cs="华文仿宋"/>
          <w:color w:val="000000"/>
          <w:kern w:val="0"/>
          <w:sz w:val="30"/>
          <w:szCs w:val="30"/>
        </w:rPr>
      </w:pPr>
      <w:r>
        <w:rPr>
          <w:rFonts w:hint="eastAsia" w:eastAsia="方正仿宋_GBK" w:cs="华文仿宋"/>
          <w:color w:val="000000"/>
          <w:kern w:val="0"/>
          <w:sz w:val="30"/>
          <w:szCs w:val="30"/>
        </w:rPr>
        <w:t>（六）已生效的判决书、仲裁裁决书或行政处罚决定书；</w:t>
      </w:r>
    </w:p>
    <w:p>
      <w:pPr>
        <w:shd w:val="clear" w:color="auto" w:fill="FFFFFF"/>
        <w:snapToGrid w:val="0"/>
        <w:spacing w:line="440" w:lineRule="atLeast"/>
        <w:ind w:firstLine="300" w:firstLineChars="100"/>
        <w:rPr>
          <w:rFonts w:eastAsia="方正仿宋_GBK" w:cs="华文仿宋"/>
          <w:color w:val="000000"/>
          <w:kern w:val="0"/>
          <w:sz w:val="30"/>
          <w:szCs w:val="30"/>
        </w:rPr>
      </w:pPr>
      <w:r>
        <w:rPr>
          <w:rFonts w:hint="eastAsia" w:eastAsia="方正仿宋_GBK" w:cs="华文仿宋"/>
          <w:color w:val="000000"/>
          <w:kern w:val="0"/>
          <w:sz w:val="30"/>
          <w:szCs w:val="30"/>
        </w:rPr>
        <w:t>（七）各级政府部门、行政执法机构签发的责令整改通知、通报批评、“黄牌警告”等文书和官网信息；</w:t>
      </w:r>
    </w:p>
    <w:p>
      <w:pPr>
        <w:shd w:val="clear" w:color="auto" w:fill="FFFFFF"/>
        <w:snapToGrid w:val="0"/>
        <w:spacing w:line="440" w:lineRule="atLeast"/>
        <w:ind w:firstLine="300" w:firstLineChars="100"/>
        <w:rPr>
          <w:rFonts w:eastAsia="方正仿宋_GBK" w:cs="华文仿宋"/>
          <w:color w:val="000000"/>
          <w:kern w:val="0"/>
          <w:sz w:val="30"/>
          <w:szCs w:val="30"/>
        </w:rPr>
      </w:pPr>
      <w:r>
        <w:rPr>
          <w:rFonts w:hint="eastAsia" w:eastAsia="方正仿宋_GBK" w:cs="华文仿宋"/>
          <w:color w:val="000000"/>
          <w:kern w:val="0"/>
          <w:sz w:val="30"/>
          <w:szCs w:val="30"/>
        </w:rPr>
        <w:t>（八）造价管理机构组织专项检查、核查、抽查，有关表扬、批评和责令整改的文书；</w:t>
      </w:r>
    </w:p>
    <w:p>
      <w:pPr>
        <w:shd w:val="clear" w:color="auto" w:fill="FFFFFF"/>
        <w:snapToGrid w:val="0"/>
        <w:spacing w:line="440" w:lineRule="atLeast"/>
        <w:ind w:firstLine="300" w:firstLineChars="100"/>
        <w:rPr>
          <w:rFonts w:eastAsia="方正仿宋_GBK" w:cs="华文仿宋"/>
          <w:color w:val="000000"/>
          <w:kern w:val="0"/>
          <w:sz w:val="30"/>
          <w:szCs w:val="30"/>
        </w:rPr>
      </w:pPr>
      <w:r>
        <w:rPr>
          <w:rFonts w:hint="eastAsia" w:eastAsia="方正仿宋_GBK" w:cs="华文仿宋"/>
          <w:color w:val="000000"/>
          <w:kern w:val="0"/>
          <w:sz w:val="30"/>
          <w:szCs w:val="30"/>
        </w:rPr>
        <w:t>（九）各级政府部门、管理机构、征信机构有关造价咨询企业的历史信用记录；</w:t>
      </w:r>
    </w:p>
    <w:p>
      <w:pPr>
        <w:shd w:val="clear" w:color="auto" w:fill="FFFFFF"/>
        <w:snapToGrid w:val="0"/>
        <w:spacing w:line="440" w:lineRule="atLeast"/>
        <w:ind w:firstLine="300" w:firstLineChars="100"/>
        <w:rPr>
          <w:rFonts w:eastAsia="方正仿宋_GBK" w:cs="华文仿宋"/>
          <w:color w:val="000000"/>
          <w:kern w:val="0"/>
          <w:sz w:val="30"/>
          <w:szCs w:val="30"/>
        </w:rPr>
      </w:pPr>
      <w:r>
        <w:rPr>
          <w:rFonts w:hint="eastAsia" w:eastAsia="方正仿宋_GBK" w:cs="华文仿宋"/>
          <w:color w:val="000000"/>
          <w:kern w:val="0"/>
          <w:sz w:val="30"/>
          <w:szCs w:val="30"/>
        </w:rPr>
        <w:t>（十）企业上传的信用评价资料和证明性材料。</w:t>
      </w:r>
    </w:p>
    <w:p>
      <w:pPr>
        <w:shd w:val="clear" w:color="auto" w:fill="FFFFFF"/>
        <w:snapToGrid w:val="0"/>
        <w:spacing w:line="440" w:lineRule="atLeast"/>
        <w:ind w:firstLine="602" w:firstLineChars="200"/>
        <w:rPr>
          <w:rFonts w:eastAsia="方正仿宋_GBK" w:cs="华文仿宋"/>
          <w:color w:val="000000"/>
          <w:kern w:val="0"/>
          <w:sz w:val="30"/>
          <w:szCs w:val="30"/>
        </w:rPr>
      </w:pPr>
      <w:r>
        <w:rPr>
          <w:rFonts w:hint="eastAsia" w:eastAsia="方正仿宋_GBK" w:cs="华文仿宋"/>
          <w:b/>
          <w:bCs/>
          <w:color w:val="000000"/>
          <w:kern w:val="0"/>
          <w:sz w:val="30"/>
          <w:szCs w:val="30"/>
        </w:rPr>
        <w:t>第六条</w:t>
      </w:r>
      <w:r>
        <w:rPr>
          <w:rFonts w:eastAsia="方正仿宋_GBK" w:cs="华文仿宋"/>
          <w:b/>
          <w:bCs/>
          <w:color w:val="000000"/>
          <w:kern w:val="0"/>
          <w:sz w:val="30"/>
          <w:szCs w:val="30"/>
        </w:rPr>
        <w:t xml:space="preserve"> </w:t>
      </w:r>
      <w:r>
        <w:rPr>
          <w:rFonts w:hint="eastAsia" w:eastAsia="方正仿宋_GBK" w:cs="华文仿宋"/>
          <w:color w:val="000000"/>
          <w:kern w:val="0"/>
          <w:sz w:val="30"/>
          <w:szCs w:val="30"/>
        </w:rPr>
        <w:t>省工程造价管理协会开发并投入使用“江苏省工程造价咨询企业信用评价管理平台”，在全省范围内分地区建立各个造价咨询企业的“信用档案”，采集造价咨询企业的信用评价信息，对企业的资产信用、资质信用、经营业绩、社会保险责任、咨询管理信用、咨询成果质量信用、咨询档案信用、企业统计信用、行业责任信用、企业历史信用给予逐项评价和赋分。</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“江苏省工程造价咨询企业信用评价管理平台”按信用评价流程和评价标准、评价细则实施信用评价。</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各级造价管理协会应加强对辖区内的造价咨询企业信用档案管理。</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申请信用评价的企业应配合信用管理平台的企业信用档案管理，按规定要求维护信用信息。</w:t>
      </w:r>
    </w:p>
    <w:p>
      <w:pPr>
        <w:shd w:val="clear" w:color="auto" w:fill="FFFFFF"/>
        <w:snapToGrid w:val="0"/>
        <w:spacing w:line="440" w:lineRule="atLeast"/>
        <w:ind w:firstLine="602" w:firstLineChars="200"/>
        <w:rPr>
          <w:rFonts w:eastAsia="方正仿宋_GBK" w:cs="华文仿宋"/>
          <w:color w:val="000000"/>
          <w:kern w:val="0"/>
          <w:sz w:val="30"/>
          <w:szCs w:val="30"/>
        </w:rPr>
      </w:pPr>
      <w:r>
        <w:rPr>
          <w:rFonts w:hint="eastAsia" w:eastAsia="方正仿宋_GBK" w:cs="华文仿宋"/>
          <w:b/>
          <w:color w:val="000000"/>
          <w:kern w:val="0"/>
          <w:sz w:val="30"/>
          <w:szCs w:val="30"/>
        </w:rPr>
        <w:t>第七条</w:t>
      </w:r>
      <w:r>
        <w:rPr>
          <w:rFonts w:eastAsia="方正仿宋_GBK" w:cs="华文仿宋"/>
          <w:b/>
          <w:color w:val="000000"/>
          <w:kern w:val="0"/>
          <w:sz w:val="30"/>
          <w:szCs w:val="30"/>
        </w:rPr>
        <w:t xml:space="preserve"> </w:t>
      </w:r>
      <w:r>
        <w:rPr>
          <w:rFonts w:hint="eastAsia" w:eastAsia="方正仿宋_GBK" w:cs="华文仿宋"/>
          <w:color w:val="000000"/>
          <w:kern w:val="0"/>
          <w:sz w:val="30"/>
          <w:szCs w:val="30"/>
        </w:rPr>
        <w:t>工程造价咨询企业信用评价程序：</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（一）企业申请。企业登录“江苏省工程造价咨询企业信用评价管理平台”，按“信用评价申请”界面的提示和步骤在线提出申请、填写信息，上传有关评价资料和证明性材料。</w:t>
      </w:r>
    </w:p>
    <w:p>
      <w:pPr>
        <w:numPr>
          <w:ilvl w:val="255"/>
          <w:numId w:val="0"/>
        </w:num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企业在线填写的信息和上传的有关评价资料和证明性材料可供查证。</w:t>
      </w:r>
    </w:p>
    <w:p>
      <w:pPr>
        <w:shd w:val="clear" w:color="auto" w:fill="FFFFFF"/>
        <w:snapToGrid w:val="0"/>
        <w:spacing w:line="440" w:lineRule="atLeast"/>
        <w:rPr>
          <w:rFonts w:eastAsia="方正仿宋_GBK" w:cs="华文仿宋"/>
          <w:color w:val="000000"/>
          <w:kern w:val="0"/>
          <w:sz w:val="30"/>
          <w:szCs w:val="30"/>
        </w:rPr>
      </w:pPr>
      <w:r>
        <w:rPr>
          <w:rFonts w:eastAsia="方正仿宋_GBK" w:cs="华文仿宋"/>
          <w:color w:val="000000"/>
          <w:kern w:val="0"/>
          <w:sz w:val="30"/>
          <w:szCs w:val="30"/>
        </w:rPr>
        <w:t xml:space="preserve">    </w:t>
      </w:r>
      <w:r>
        <w:rPr>
          <w:rFonts w:hint="eastAsia" w:eastAsia="方正仿宋_GBK" w:cs="华文仿宋"/>
          <w:color w:val="000000"/>
          <w:kern w:val="0"/>
          <w:sz w:val="30"/>
          <w:szCs w:val="30"/>
        </w:rPr>
        <w:t>申请信用评价的企业名单，由“江苏省工程造价管理协会网”和“江苏省工程造价咨询企业信用评价管理平台”予以公布。</w:t>
      </w:r>
    </w:p>
    <w:p>
      <w:pPr>
        <w:shd w:val="clear" w:color="auto" w:fill="FFFFFF"/>
        <w:snapToGrid w:val="0"/>
        <w:spacing w:line="440" w:lineRule="atLeast"/>
        <w:ind w:firstLine="600" w:firstLineChars="200"/>
        <w:rPr>
          <w:rFonts w:eastAsia="方正仿宋_GBK" w:cs="华文仿宋"/>
          <w:bCs/>
          <w:color w:val="000000"/>
          <w:kern w:val="0"/>
          <w:sz w:val="30"/>
          <w:szCs w:val="30"/>
        </w:rPr>
      </w:pPr>
      <w:r>
        <w:rPr>
          <w:rFonts w:hint="eastAsia" w:eastAsia="方正仿宋_GBK" w:cs="华文仿宋"/>
          <w:color w:val="000000"/>
          <w:kern w:val="0"/>
          <w:sz w:val="30"/>
          <w:szCs w:val="30"/>
        </w:rPr>
        <w:t>（二）市级评价。各市根据实际情况和需要成立若干个信</w:t>
      </w:r>
      <w:r>
        <w:rPr>
          <w:rFonts w:hint="eastAsia" w:eastAsia="方正仿宋_GBK" w:cs="华文仿宋"/>
          <w:bCs/>
          <w:color w:val="000000"/>
          <w:kern w:val="0"/>
          <w:sz w:val="30"/>
          <w:szCs w:val="30"/>
        </w:rPr>
        <w:t>用评价专家小组对信用评价申请企业开展评价。每一个信用评价专家小组人数不得少于</w:t>
      </w:r>
      <w:r>
        <w:rPr>
          <w:rFonts w:eastAsia="方正仿宋_GBK" w:cs="华文仿宋"/>
          <w:bCs/>
          <w:color w:val="000000"/>
          <w:kern w:val="0"/>
          <w:sz w:val="30"/>
          <w:szCs w:val="30"/>
        </w:rPr>
        <w:t>3</w:t>
      </w:r>
      <w:r>
        <w:rPr>
          <w:rFonts w:hint="eastAsia" w:eastAsia="方正仿宋_GBK" w:cs="华文仿宋"/>
          <w:bCs/>
          <w:color w:val="000000"/>
          <w:kern w:val="0"/>
          <w:sz w:val="30"/>
          <w:szCs w:val="30"/>
        </w:rPr>
        <w:t>人。</w:t>
      </w:r>
    </w:p>
    <w:p>
      <w:pPr>
        <w:shd w:val="clear" w:color="auto" w:fill="FFFFFF"/>
        <w:snapToGrid w:val="0"/>
        <w:spacing w:line="440" w:lineRule="atLeast"/>
        <w:ind w:firstLine="600" w:firstLineChars="200"/>
        <w:rPr>
          <w:rFonts w:eastAsia="方正仿宋_GBK" w:cs="华文仿宋"/>
          <w:bCs/>
          <w:color w:val="000000"/>
          <w:kern w:val="0"/>
          <w:sz w:val="30"/>
          <w:szCs w:val="30"/>
        </w:rPr>
      </w:pPr>
      <w:r>
        <w:rPr>
          <w:rFonts w:hint="eastAsia" w:eastAsia="方正仿宋_GBK" w:cs="华文仿宋"/>
          <w:color w:val="000000"/>
          <w:kern w:val="0"/>
          <w:sz w:val="30"/>
          <w:szCs w:val="30"/>
        </w:rPr>
        <w:t>市级评价过程中，工程造价管理协会邀请市造价管理机构听取信</w:t>
      </w:r>
      <w:r>
        <w:rPr>
          <w:rFonts w:hint="eastAsia" w:eastAsia="方正仿宋_GBK" w:cs="华文仿宋"/>
          <w:bCs/>
          <w:color w:val="000000"/>
          <w:kern w:val="0"/>
          <w:sz w:val="30"/>
          <w:szCs w:val="30"/>
        </w:rPr>
        <w:t>用评价专家小组工作情况汇报，有序组织和推动信用评价工作进行。</w:t>
      </w:r>
    </w:p>
    <w:p>
      <w:pPr>
        <w:shd w:val="clear" w:color="auto" w:fill="FFFFFF"/>
        <w:snapToGrid w:val="0"/>
        <w:spacing w:line="440" w:lineRule="atLeast"/>
        <w:ind w:firstLine="600" w:firstLineChars="200"/>
        <w:rPr>
          <w:rFonts w:eastAsia="方正仿宋_GBK" w:cs="华文仿宋"/>
          <w:bCs/>
          <w:color w:val="000000"/>
          <w:kern w:val="0"/>
          <w:sz w:val="30"/>
          <w:szCs w:val="30"/>
        </w:rPr>
      </w:pPr>
      <w:r>
        <w:rPr>
          <w:rFonts w:hint="eastAsia" w:eastAsia="方正仿宋_GBK" w:cs="华文仿宋"/>
          <w:bCs/>
          <w:color w:val="000000"/>
          <w:kern w:val="0"/>
          <w:sz w:val="30"/>
          <w:szCs w:val="30"/>
        </w:rPr>
        <w:t>市级评价按“江苏省工程造价咨询企业信用评价标准和评分表”执行，并通过评价赋分获得被评价企业的信用评价总得分。</w:t>
      </w:r>
    </w:p>
    <w:p>
      <w:pPr>
        <w:shd w:val="clear" w:color="auto" w:fill="FFFFFF"/>
        <w:snapToGrid w:val="0"/>
        <w:spacing w:line="440" w:lineRule="atLeast"/>
        <w:ind w:firstLine="600" w:firstLineChars="200"/>
        <w:rPr>
          <w:rFonts w:eastAsia="方正仿宋_GBK" w:cs="华文仿宋"/>
          <w:bCs/>
          <w:color w:val="000000"/>
          <w:kern w:val="0"/>
          <w:sz w:val="30"/>
          <w:szCs w:val="30"/>
        </w:rPr>
      </w:pPr>
      <w:r>
        <w:rPr>
          <w:rFonts w:hint="eastAsia" w:eastAsia="方正仿宋_GBK" w:cs="华文仿宋"/>
          <w:bCs/>
          <w:color w:val="000000"/>
          <w:kern w:val="0"/>
          <w:sz w:val="30"/>
          <w:szCs w:val="30"/>
        </w:rPr>
        <w:t>评价赋分由评价系统自动赋分和评价专家小组考评赋分两部分组成。其中：</w:t>
      </w:r>
      <w:r>
        <w:rPr>
          <w:rFonts w:hint="eastAsia" w:eastAsia="方正仿宋_GBK" w:cs="华文仿宋"/>
          <w:color w:val="000000"/>
          <w:kern w:val="0"/>
          <w:sz w:val="30"/>
          <w:szCs w:val="30"/>
        </w:rPr>
        <w:t>“江苏省工程造价咨询企业信用评价管理平台”从</w:t>
      </w:r>
      <w:r>
        <w:rPr>
          <w:rFonts w:hint="eastAsia" w:eastAsia="方正仿宋_GBK" w:cs="华文仿宋"/>
          <w:bCs/>
          <w:color w:val="000000"/>
          <w:kern w:val="0"/>
          <w:sz w:val="30"/>
          <w:szCs w:val="30"/>
        </w:rPr>
        <w:t>“江苏省工程造价咨询企业管理系统”、“工程造价咨询系统统计报表系统”、“江苏省工程造价管理协会会员系统”、“江苏省造价从业人员远程教育网”采集具有信用评价意义的有关统计数据，由信用评价管理平台对相关评价事项自动给予评价赋分；信用评价专家小组核查企业信用</w:t>
      </w:r>
      <w:r>
        <w:rPr>
          <w:rFonts w:hint="eastAsia" w:eastAsia="方正仿宋_GBK" w:cs="华文仿宋"/>
          <w:color w:val="000000"/>
          <w:kern w:val="0"/>
          <w:sz w:val="30"/>
          <w:szCs w:val="30"/>
        </w:rPr>
        <w:t>评价</w:t>
      </w:r>
      <w:r>
        <w:rPr>
          <w:rFonts w:hint="eastAsia" w:eastAsia="方正仿宋_GBK" w:cs="华文仿宋"/>
          <w:bCs/>
          <w:color w:val="000000"/>
          <w:kern w:val="0"/>
          <w:sz w:val="30"/>
          <w:szCs w:val="30"/>
        </w:rPr>
        <w:t>证明性材料，随机抽查咨询项目档案，采集有关评价事项的数据和信息，由</w:t>
      </w:r>
      <w:r>
        <w:rPr>
          <w:rFonts w:hint="eastAsia" w:eastAsia="方正仿宋_GBK" w:cs="华文仿宋"/>
          <w:color w:val="000000"/>
          <w:kern w:val="0"/>
          <w:sz w:val="30"/>
          <w:szCs w:val="30"/>
        </w:rPr>
        <w:t>信</w:t>
      </w:r>
      <w:r>
        <w:rPr>
          <w:rFonts w:hint="eastAsia" w:eastAsia="方正仿宋_GBK" w:cs="华文仿宋"/>
          <w:bCs/>
          <w:color w:val="000000"/>
          <w:kern w:val="0"/>
          <w:sz w:val="30"/>
          <w:szCs w:val="30"/>
        </w:rPr>
        <w:t>用评价专家小组通过现场考评在线</w:t>
      </w:r>
      <w:r>
        <w:rPr>
          <w:rFonts w:hint="eastAsia" w:eastAsia="方正仿宋_GBK" w:cs="华文仿宋"/>
          <w:color w:val="000000"/>
          <w:kern w:val="0"/>
          <w:sz w:val="30"/>
          <w:szCs w:val="30"/>
        </w:rPr>
        <w:t>逐项</w:t>
      </w:r>
      <w:r>
        <w:rPr>
          <w:rFonts w:hint="eastAsia" w:eastAsia="方正仿宋_GBK" w:cs="华文仿宋"/>
          <w:bCs/>
          <w:color w:val="000000"/>
          <w:kern w:val="0"/>
          <w:sz w:val="30"/>
          <w:szCs w:val="30"/>
        </w:rPr>
        <w:t>进行评价赋分。</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市级评价对申请企业信用评价的赋分情况，由信用评价工作专家小组组长签字后，交由被评价企业负责人签字确认。</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被评价企业对信用评价工作专家小组评价赋分结果有异议的，可以保留意见或书面申请市级评价复议。</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被评价企业拒绝签字确认信用评价工作专家小组评价赋分结果，按被评价企业自动撤销信用评价申请处理。</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（三）省级复核。省工程造价管理协会邀请省建设工程造价管理总站召开信用评价联席会议，听取市级评价工作情况和参评企业信用评价资料、评价得分抽查和复核情况，并确定所有参评企业的信用等级。</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（四）结果公示。被评价企业的信用等级在“江苏省工程造价管理协会网”和“江苏工程造价信息网”进行公示，公示期为</w:t>
      </w:r>
      <w:r>
        <w:rPr>
          <w:rFonts w:eastAsia="方正仿宋_GBK" w:cs="华文仿宋"/>
          <w:color w:val="000000"/>
          <w:kern w:val="0"/>
          <w:sz w:val="30"/>
          <w:szCs w:val="30"/>
        </w:rPr>
        <w:t>10</w:t>
      </w:r>
      <w:r>
        <w:rPr>
          <w:rFonts w:hint="eastAsia" w:eastAsia="方正仿宋_GBK" w:cs="华文仿宋"/>
          <w:color w:val="000000"/>
          <w:kern w:val="0"/>
          <w:sz w:val="30"/>
          <w:szCs w:val="30"/>
        </w:rPr>
        <w:t>天。</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在公示期内，省工程造价管理协会接受有关信用评价的投诉、举报和复议申请，并按规定流程处理。</w:t>
      </w:r>
    </w:p>
    <w:p>
      <w:pPr>
        <w:numPr>
          <w:ilvl w:val="0"/>
          <w:numId w:val="1"/>
        </w:numPr>
        <w:shd w:val="clear" w:color="auto" w:fill="FFFFFF"/>
        <w:snapToGrid w:val="0"/>
        <w:spacing w:line="440" w:lineRule="atLeast"/>
        <w:ind w:left="500" w:leftChars="238"/>
        <w:rPr>
          <w:rFonts w:eastAsia="方正仿宋_GBK" w:cs="华文仿宋"/>
          <w:color w:val="000000"/>
          <w:kern w:val="0"/>
          <w:sz w:val="30"/>
          <w:szCs w:val="30"/>
        </w:rPr>
      </w:pPr>
      <w:r>
        <w:rPr>
          <w:rFonts w:hint="eastAsia" w:eastAsia="方正仿宋_GBK" w:cs="华文仿宋"/>
          <w:color w:val="000000"/>
          <w:kern w:val="0"/>
          <w:sz w:val="30"/>
          <w:szCs w:val="30"/>
        </w:rPr>
        <w:t>公布结果。信用评价公示期满后，对公示结果无异议的，</w:t>
      </w:r>
    </w:p>
    <w:p>
      <w:pPr>
        <w:shd w:val="clear" w:color="auto" w:fill="FFFFFF"/>
        <w:snapToGrid w:val="0"/>
        <w:spacing w:line="440" w:lineRule="atLeast"/>
        <w:rPr>
          <w:rFonts w:eastAsia="方正仿宋_GBK" w:cs="华文仿宋"/>
          <w:color w:val="000000"/>
          <w:kern w:val="0"/>
          <w:sz w:val="30"/>
          <w:szCs w:val="30"/>
        </w:rPr>
      </w:pPr>
      <w:r>
        <w:rPr>
          <w:rFonts w:hint="eastAsia" w:eastAsia="方正仿宋_GBK" w:cs="华文仿宋"/>
          <w:color w:val="000000"/>
          <w:kern w:val="0"/>
          <w:sz w:val="30"/>
          <w:szCs w:val="30"/>
        </w:rPr>
        <w:t>由江苏省工程造价管理协会公布参评企业的信用等级结果，并颁发“江苏省工程造价咨询企业信用等级证书”和铭牌。</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造价咨询企业基本信息、信用等级、专业咨询能力、良好行为记录、不良行为记录可通过“江苏省工程造价管理协会网”或“江苏省工程造价咨询企业信用评价管理平台”公开查询。</w:t>
      </w:r>
      <w:r>
        <w:rPr>
          <w:rFonts w:eastAsia="方正仿宋_GBK" w:cs="华文仿宋"/>
          <w:color w:val="000000"/>
          <w:kern w:val="0"/>
          <w:sz w:val="30"/>
          <w:szCs w:val="30"/>
        </w:rPr>
        <w:t xml:space="preserve"> </w:t>
      </w:r>
    </w:p>
    <w:p>
      <w:pPr>
        <w:numPr>
          <w:ilvl w:val="255"/>
          <w:numId w:val="0"/>
        </w:numPr>
        <w:shd w:val="clear" w:color="auto" w:fill="FFFFFF"/>
        <w:snapToGrid w:val="0"/>
        <w:spacing w:line="440" w:lineRule="atLeast"/>
        <w:ind w:firstLine="602" w:firstLineChars="200"/>
        <w:rPr>
          <w:rFonts w:eastAsia="方正仿宋_GBK" w:cs="华文仿宋"/>
          <w:color w:val="000000"/>
          <w:kern w:val="0"/>
          <w:sz w:val="30"/>
          <w:szCs w:val="30"/>
        </w:rPr>
      </w:pPr>
      <w:r>
        <w:rPr>
          <w:rFonts w:hint="eastAsia" w:eastAsia="方正仿宋_GBK" w:cs="华文仿宋"/>
          <w:b/>
          <w:bCs/>
          <w:color w:val="000000"/>
          <w:kern w:val="0"/>
          <w:sz w:val="30"/>
          <w:szCs w:val="30"/>
        </w:rPr>
        <w:t>第八条</w:t>
      </w:r>
      <w:r>
        <w:rPr>
          <w:rFonts w:eastAsia="方正仿宋_GBK" w:cs="华文仿宋"/>
          <w:b/>
          <w:bCs/>
          <w:color w:val="000000"/>
          <w:kern w:val="0"/>
          <w:sz w:val="30"/>
          <w:szCs w:val="30"/>
        </w:rPr>
        <w:t xml:space="preserve"> </w:t>
      </w:r>
      <w:r>
        <w:rPr>
          <w:rFonts w:hint="eastAsia" w:eastAsia="方正仿宋_GBK" w:cs="华文仿宋"/>
          <w:color w:val="000000"/>
          <w:kern w:val="0"/>
          <w:sz w:val="30"/>
          <w:szCs w:val="30"/>
        </w:rPr>
        <w:t>申请信用评价企业的起评分为</w:t>
      </w:r>
      <w:r>
        <w:rPr>
          <w:rFonts w:eastAsia="方正仿宋_GBK" w:cs="华文仿宋"/>
          <w:color w:val="000000"/>
          <w:kern w:val="0"/>
          <w:sz w:val="30"/>
          <w:szCs w:val="30"/>
        </w:rPr>
        <w:t>100</w:t>
      </w:r>
      <w:r>
        <w:rPr>
          <w:rFonts w:hint="eastAsia" w:eastAsia="方正仿宋_GBK" w:cs="华文仿宋"/>
          <w:color w:val="000000"/>
          <w:kern w:val="0"/>
          <w:sz w:val="30"/>
          <w:szCs w:val="30"/>
        </w:rPr>
        <w:t>分。信用评价在企业起评分的基础上，按评分细则对各个评价事项逐项给予评价加分或评价减分，最后获得“评价得分”。</w:t>
      </w:r>
      <w:r>
        <w:rPr>
          <w:rFonts w:eastAsia="方正仿宋_GBK" w:cs="华文仿宋"/>
          <w:color w:val="000000"/>
          <w:kern w:val="0"/>
          <w:sz w:val="30"/>
          <w:szCs w:val="30"/>
        </w:rPr>
        <w:t xml:space="preserve"> </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评价事项、评价内容、评分细则、信息采集来源和资料提供，详见附表</w:t>
      </w:r>
      <w:r>
        <w:rPr>
          <w:rFonts w:eastAsia="方正仿宋_GBK" w:cs="华文仿宋"/>
          <w:color w:val="000000"/>
          <w:kern w:val="0"/>
          <w:sz w:val="30"/>
          <w:szCs w:val="30"/>
        </w:rPr>
        <w:t>1</w:t>
      </w:r>
      <w:r>
        <w:rPr>
          <w:rFonts w:hint="eastAsia" w:eastAsia="方正仿宋_GBK" w:cs="华文仿宋"/>
          <w:color w:val="000000"/>
          <w:kern w:val="0"/>
          <w:sz w:val="30"/>
          <w:szCs w:val="30"/>
        </w:rPr>
        <w:t>《江苏省工程造价咨询企业信用评价基本信息表》、附表</w:t>
      </w:r>
      <w:r>
        <w:rPr>
          <w:rFonts w:eastAsia="方正仿宋_GBK" w:cs="华文仿宋"/>
          <w:color w:val="000000"/>
          <w:kern w:val="0"/>
          <w:sz w:val="30"/>
          <w:szCs w:val="30"/>
        </w:rPr>
        <w:t>2</w:t>
      </w:r>
      <w:r>
        <w:rPr>
          <w:rFonts w:hint="eastAsia" w:eastAsia="方正仿宋_GBK" w:cs="华文仿宋"/>
          <w:color w:val="000000"/>
          <w:kern w:val="0"/>
          <w:sz w:val="30"/>
          <w:szCs w:val="30"/>
        </w:rPr>
        <w:t>《江苏省工程造价咨询企业信用评价标准和评分表》、附表</w:t>
      </w:r>
      <w:r>
        <w:rPr>
          <w:rFonts w:eastAsia="方正仿宋_GBK" w:cs="华文仿宋"/>
          <w:color w:val="000000"/>
          <w:kern w:val="0"/>
          <w:sz w:val="30"/>
          <w:szCs w:val="30"/>
        </w:rPr>
        <w:t>3</w:t>
      </w:r>
      <w:r>
        <w:rPr>
          <w:rFonts w:hint="eastAsia" w:eastAsia="方正仿宋_GBK" w:cs="华文仿宋"/>
          <w:color w:val="000000"/>
          <w:kern w:val="0"/>
          <w:sz w:val="30"/>
          <w:szCs w:val="30"/>
        </w:rPr>
        <w:t>《江苏省工程造价咨询企业专业咨询能力评价加分表》、附表</w:t>
      </w:r>
      <w:r>
        <w:rPr>
          <w:rFonts w:eastAsia="方正仿宋_GBK" w:cs="华文仿宋"/>
          <w:color w:val="000000"/>
          <w:kern w:val="0"/>
          <w:sz w:val="30"/>
          <w:szCs w:val="30"/>
        </w:rPr>
        <w:t>4</w:t>
      </w:r>
      <w:r>
        <w:rPr>
          <w:rFonts w:hint="eastAsia" w:eastAsia="方正仿宋_GBK" w:cs="华文仿宋"/>
          <w:color w:val="000000"/>
          <w:kern w:val="0"/>
          <w:sz w:val="30"/>
          <w:szCs w:val="30"/>
        </w:rPr>
        <w:t>《江苏省工程造价咨询企业良好行为评价加分表》、附表</w:t>
      </w:r>
      <w:r>
        <w:rPr>
          <w:rFonts w:eastAsia="方正仿宋_GBK" w:cs="华文仿宋"/>
          <w:color w:val="000000"/>
          <w:kern w:val="0"/>
          <w:sz w:val="30"/>
          <w:szCs w:val="30"/>
        </w:rPr>
        <w:t>5</w:t>
      </w:r>
      <w:r>
        <w:rPr>
          <w:rFonts w:hint="eastAsia" w:eastAsia="方正仿宋_GBK" w:cs="华文仿宋"/>
          <w:color w:val="000000"/>
          <w:kern w:val="0"/>
          <w:sz w:val="30"/>
          <w:szCs w:val="30"/>
        </w:rPr>
        <w:t>《江苏省工程造价咨询企业不良行为评价减分表》。</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被评价企业的信用等级按评价得分高低，分地区、按比例确定。</w:t>
      </w:r>
    </w:p>
    <w:p>
      <w:pPr>
        <w:shd w:val="clear" w:color="auto" w:fill="FFFFFF"/>
        <w:snapToGrid w:val="0"/>
        <w:spacing w:line="440" w:lineRule="atLeast"/>
        <w:ind w:firstLine="602" w:firstLineChars="200"/>
        <w:rPr>
          <w:rFonts w:eastAsia="方正仿宋_GBK" w:cs="华文仿宋"/>
          <w:color w:val="000000"/>
          <w:kern w:val="0"/>
          <w:sz w:val="30"/>
          <w:szCs w:val="30"/>
        </w:rPr>
      </w:pPr>
      <w:r>
        <w:rPr>
          <w:rFonts w:hint="eastAsia" w:eastAsia="方正仿宋_GBK" w:cs="华文仿宋"/>
          <w:b/>
          <w:bCs/>
          <w:color w:val="000000"/>
          <w:kern w:val="0"/>
          <w:sz w:val="30"/>
          <w:szCs w:val="30"/>
        </w:rPr>
        <w:t>第九条</w:t>
      </w:r>
      <w:r>
        <w:rPr>
          <w:rFonts w:eastAsia="方正仿宋_GBK" w:cs="华文仿宋"/>
          <w:b/>
          <w:bCs/>
          <w:color w:val="000000"/>
          <w:kern w:val="0"/>
          <w:sz w:val="30"/>
          <w:szCs w:val="30"/>
        </w:rPr>
        <w:t xml:space="preserve"> </w:t>
      </w:r>
      <w:r>
        <w:rPr>
          <w:rFonts w:hint="eastAsia" w:eastAsia="方正仿宋_GBK" w:cs="华文仿宋"/>
          <w:color w:val="000000"/>
          <w:kern w:val="0"/>
          <w:sz w:val="30"/>
          <w:szCs w:val="30"/>
        </w:rPr>
        <w:t>江苏省工程造价咨询企业的信用等级划分为</w:t>
      </w:r>
      <w:r>
        <w:rPr>
          <w:rFonts w:eastAsia="方正仿宋_GBK" w:cs="华文仿宋"/>
          <w:color w:val="000000"/>
          <w:kern w:val="0"/>
          <w:sz w:val="30"/>
          <w:szCs w:val="30"/>
        </w:rPr>
        <w:t>5</w:t>
      </w:r>
      <w:r>
        <w:rPr>
          <w:rFonts w:hint="eastAsia" w:eastAsia="方正仿宋_GBK" w:cs="华文仿宋"/>
          <w:color w:val="000000"/>
          <w:kern w:val="0"/>
          <w:sz w:val="30"/>
          <w:szCs w:val="30"/>
        </w:rPr>
        <w:t>个等级，依次是</w:t>
      </w:r>
      <w:r>
        <w:rPr>
          <w:rFonts w:eastAsia="方正仿宋_GBK" w:cs="华文仿宋"/>
          <w:color w:val="000000"/>
          <w:kern w:val="0"/>
          <w:sz w:val="30"/>
          <w:szCs w:val="30"/>
        </w:rPr>
        <w:t>AAAAA</w:t>
      </w:r>
      <w:r>
        <w:rPr>
          <w:rFonts w:hint="eastAsia" w:eastAsia="方正仿宋_GBK" w:cs="华文仿宋"/>
          <w:color w:val="000000"/>
          <w:kern w:val="0"/>
          <w:sz w:val="30"/>
          <w:szCs w:val="30"/>
        </w:rPr>
        <w:t>（</w:t>
      </w:r>
      <w:r>
        <w:rPr>
          <w:rFonts w:eastAsia="方正仿宋_GBK" w:cs="华文仿宋"/>
          <w:color w:val="000000"/>
          <w:kern w:val="0"/>
          <w:sz w:val="30"/>
          <w:szCs w:val="30"/>
        </w:rPr>
        <w:t>5A</w:t>
      </w:r>
      <w:r>
        <w:rPr>
          <w:rFonts w:hint="eastAsia" w:eastAsia="方正仿宋_GBK" w:cs="华文仿宋"/>
          <w:color w:val="000000"/>
          <w:kern w:val="0"/>
          <w:sz w:val="30"/>
          <w:szCs w:val="30"/>
        </w:rPr>
        <w:t>级）、</w:t>
      </w:r>
      <w:r>
        <w:rPr>
          <w:rFonts w:eastAsia="方正仿宋_GBK" w:cs="华文仿宋"/>
          <w:color w:val="000000"/>
          <w:kern w:val="0"/>
          <w:sz w:val="30"/>
          <w:szCs w:val="30"/>
        </w:rPr>
        <w:t>AAAA</w:t>
      </w:r>
      <w:r>
        <w:rPr>
          <w:rFonts w:hint="eastAsia" w:eastAsia="方正仿宋_GBK" w:cs="华文仿宋"/>
          <w:color w:val="000000"/>
          <w:kern w:val="0"/>
          <w:sz w:val="30"/>
          <w:szCs w:val="30"/>
        </w:rPr>
        <w:t>（</w:t>
      </w:r>
      <w:r>
        <w:rPr>
          <w:rFonts w:eastAsia="方正仿宋_GBK" w:cs="华文仿宋"/>
          <w:color w:val="000000"/>
          <w:kern w:val="0"/>
          <w:sz w:val="30"/>
          <w:szCs w:val="30"/>
        </w:rPr>
        <w:t>4A</w:t>
      </w:r>
      <w:r>
        <w:rPr>
          <w:rFonts w:hint="eastAsia" w:eastAsia="方正仿宋_GBK" w:cs="华文仿宋"/>
          <w:color w:val="000000"/>
          <w:kern w:val="0"/>
          <w:sz w:val="30"/>
          <w:szCs w:val="30"/>
        </w:rPr>
        <w:t>级）、</w:t>
      </w:r>
      <w:r>
        <w:rPr>
          <w:rFonts w:eastAsia="方正仿宋_GBK" w:cs="华文仿宋"/>
          <w:color w:val="000000"/>
          <w:kern w:val="0"/>
          <w:sz w:val="30"/>
          <w:szCs w:val="30"/>
        </w:rPr>
        <w:t>AAA</w:t>
      </w:r>
      <w:r>
        <w:rPr>
          <w:rFonts w:hint="eastAsia" w:eastAsia="方正仿宋_GBK" w:cs="华文仿宋"/>
          <w:color w:val="000000"/>
          <w:kern w:val="0"/>
          <w:sz w:val="30"/>
          <w:szCs w:val="30"/>
        </w:rPr>
        <w:t>（</w:t>
      </w:r>
      <w:r>
        <w:rPr>
          <w:rFonts w:eastAsia="方正仿宋_GBK" w:cs="华文仿宋"/>
          <w:color w:val="000000"/>
          <w:kern w:val="0"/>
          <w:sz w:val="30"/>
          <w:szCs w:val="30"/>
        </w:rPr>
        <w:t>3A</w:t>
      </w:r>
      <w:r>
        <w:rPr>
          <w:rFonts w:hint="eastAsia" w:eastAsia="方正仿宋_GBK" w:cs="华文仿宋"/>
          <w:color w:val="000000"/>
          <w:kern w:val="0"/>
          <w:sz w:val="30"/>
          <w:szCs w:val="30"/>
        </w:rPr>
        <w:t>级）、</w:t>
      </w:r>
      <w:r>
        <w:rPr>
          <w:rFonts w:eastAsia="方正仿宋_GBK" w:cs="华文仿宋"/>
          <w:color w:val="000000"/>
          <w:kern w:val="0"/>
          <w:sz w:val="30"/>
          <w:szCs w:val="30"/>
        </w:rPr>
        <w:t>AA</w:t>
      </w:r>
      <w:r>
        <w:rPr>
          <w:rFonts w:hint="eastAsia" w:eastAsia="方正仿宋_GBK" w:cs="华文仿宋"/>
          <w:color w:val="000000"/>
          <w:kern w:val="0"/>
          <w:sz w:val="30"/>
          <w:szCs w:val="30"/>
        </w:rPr>
        <w:t>（</w:t>
      </w:r>
      <w:r>
        <w:rPr>
          <w:rFonts w:eastAsia="方正仿宋_GBK" w:cs="华文仿宋"/>
          <w:color w:val="000000"/>
          <w:kern w:val="0"/>
          <w:sz w:val="30"/>
          <w:szCs w:val="30"/>
        </w:rPr>
        <w:t>2A</w:t>
      </w:r>
      <w:r>
        <w:rPr>
          <w:rFonts w:hint="eastAsia" w:eastAsia="方正仿宋_GBK" w:cs="华文仿宋"/>
          <w:color w:val="000000"/>
          <w:kern w:val="0"/>
          <w:sz w:val="30"/>
          <w:szCs w:val="30"/>
        </w:rPr>
        <w:t>级）和</w:t>
      </w:r>
      <w:r>
        <w:rPr>
          <w:rFonts w:eastAsia="方正仿宋_GBK" w:cs="华文仿宋"/>
          <w:color w:val="000000"/>
          <w:kern w:val="0"/>
          <w:sz w:val="30"/>
          <w:szCs w:val="30"/>
        </w:rPr>
        <w:t>A</w:t>
      </w:r>
      <w:r>
        <w:rPr>
          <w:rFonts w:hint="eastAsia" w:eastAsia="方正仿宋_GBK" w:cs="华文仿宋"/>
          <w:color w:val="000000"/>
          <w:kern w:val="0"/>
          <w:sz w:val="30"/>
          <w:szCs w:val="30"/>
        </w:rPr>
        <w:t>（</w:t>
      </w:r>
      <w:r>
        <w:rPr>
          <w:rFonts w:eastAsia="方正仿宋_GBK" w:cs="华文仿宋"/>
          <w:color w:val="000000"/>
          <w:kern w:val="0"/>
          <w:sz w:val="30"/>
          <w:szCs w:val="30"/>
        </w:rPr>
        <w:t>1A</w:t>
      </w:r>
      <w:r>
        <w:rPr>
          <w:rFonts w:hint="eastAsia" w:eastAsia="方正仿宋_GBK" w:cs="华文仿宋"/>
          <w:color w:val="000000"/>
          <w:kern w:val="0"/>
          <w:sz w:val="30"/>
          <w:szCs w:val="30"/>
        </w:rPr>
        <w:t>级）。其中：</w:t>
      </w:r>
      <w:r>
        <w:rPr>
          <w:rFonts w:eastAsia="方正仿宋_GBK" w:cs="华文仿宋"/>
          <w:color w:val="000000"/>
          <w:kern w:val="0"/>
          <w:sz w:val="30"/>
          <w:szCs w:val="30"/>
        </w:rPr>
        <w:t>AAAAA</w:t>
      </w:r>
      <w:r>
        <w:rPr>
          <w:rFonts w:hint="eastAsia" w:eastAsia="方正仿宋_GBK" w:cs="华文仿宋"/>
          <w:color w:val="000000"/>
          <w:kern w:val="0"/>
          <w:sz w:val="30"/>
          <w:szCs w:val="30"/>
        </w:rPr>
        <w:t>表示信用很好，综合能力很强；</w:t>
      </w:r>
      <w:r>
        <w:rPr>
          <w:rFonts w:eastAsia="方正仿宋_GBK" w:cs="华文仿宋"/>
          <w:color w:val="000000"/>
          <w:kern w:val="0"/>
          <w:sz w:val="30"/>
          <w:szCs w:val="30"/>
        </w:rPr>
        <w:t>AAAA</w:t>
      </w:r>
      <w:r>
        <w:rPr>
          <w:rFonts w:hint="eastAsia" w:eastAsia="方正仿宋_GBK" w:cs="华文仿宋"/>
          <w:color w:val="000000"/>
          <w:kern w:val="0"/>
          <w:sz w:val="30"/>
          <w:szCs w:val="30"/>
        </w:rPr>
        <w:t>表示信用很好，综合能力强；</w:t>
      </w:r>
      <w:r>
        <w:rPr>
          <w:rFonts w:eastAsia="方正仿宋_GBK" w:cs="华文仿宋"/>
          <w:color w:val="000000"/>
          <w:kern w:val="0"/>
          <w:sz w:val="30"/>
          <w:szCs w:val="30"/>
        </w:rPr>
        <w:t>AAA</w:t>
      </w:r>
      <w:r>
        <w:rPr>
          <w:rFonts w:hint="eastAsia" w:eastAsia="方正仿宋_GBK" w:cs="华文仿宋"/>
          <w:color w:val="000000"/>
          <w:kern w:val="0"/>
          <w:sz w:val="30"/>
          <w:szCs w:val="30"/>
        </w:rPr>
        <w:t>表示信用好，综合能力较强；</w:t>
      </w:r>
      <w:r>
        <w:rPr>
          <w:rFonts w:eastAsia="方正仿宋_GBK" w:cs="华文仿宋"/>
          <w:color w:val="000000"/>
          <w:kern w:val="0"/>
          <w:sz w:val="30"/>
          <w:szCs w:val="30"/>
        </w:rPr>
        <w:t xml:space="preserve"> AA</w:t>
      </w:r>
      <w:r>
        <w:rPr>
          <w:rFonts w:hint="eastAsia" w:eastAsia="方正仿宋_GBK" w:cs="华文仿宋"/>
          <w:color w:val="000000"/>
          <w:kern w:val="0"/>
          <w:sz w:val="30"/>
          <w:szCs w:val="30"/>
        </w:rPr>
        <w:t>表示信用较好，综合能力一般；</w:t>
      </w:r>
      <w:r>
        <w:rPr>
          <w:rFonts w:eastAsia="方正仿宋_GBK" w:cs="华文仿宋"/>
          <w:color w:val="000000"/>
          <w:kern w:val="0"/>
          <w:sz w:val="30"/>
          <w:szCs w:val="30"/>
        </w:rPr>
        <w:t>A</w:t>
      </w:r>
      <w:r>
        <w:rPr>
          <w:rFonts w:hint="eastAsia" w:eastAsia="方正仿宋_GBK" w:cs="华文仿宋"/>
          <w:color w:val="000000"/>
          <w:kern w:val="0"/>
          <w:sz w:val="30"/>
          <w:szCs w:val="30"/>
        </w:rPr>
        <w:t>表示信用较好，综合能力较弱。</w:t>
      </w:r>
      <w:r>
        <w:rPr>
          <w:rFonts w:eastAsia="方正仿宋_GBK" w:cs="华文仿宋"/>
          <w:color w:val="000000"/>
          <w:kern w:val="0"/>
          <w:sz w:val="30"/>
          <w:szCs w:val="30"/>
        </w:rPr>
        <w:t xml:space="preserve"> </w:t>
      </w:r>
    </w:p>
    <w:p>
      <w:pPr>
        <w:shd w:val="clear" w:color="auto" w:fill="FFFFFF"/>
        <w:snapToGrid w:val="0"/>
        <w:spacing w:line="440" w:lineRule="atLeast"/>
        <w:rPr>
          <w:rFonts w:eastAsia="方正仿宋_GBK" w:cs="华文仿宋"/>
          <w:color w:val="000000"/>
          <w:kern w:val="0"/>
          <w:sz w:val="30"/>
          <w:szCs w:val="30"/>
        </w:rPr>
      </w:pPr>
      <w:r>
        <w:rPr>
          <w:rFonts w:eastAsia="方正仿宋_GBK" w:cs="华文仿宋"/>
          <w:bCs/>
          <w:color w:val="000000"/>
          <w:kern w:val="0"/>
          <w:sz w:val="30"/>
          <w:szCs w:val="30"/>
        </w:rPr>
        <w:t xml:space="preserve">    </w:t>
      </w:r>
      <w:r>
        <w:rPr>
          <w:rFonts w:hint="eastAsia" w:eastAsia="方正仿宋_GBK" w:cs="华文仿宋"/>
          <w:b/>
          <w:color w:val="000000"/>
          <w:kern w:val="0"/>
          <w:sz w:val="30"/>
          <w:szCs w:val="30"/>
        </w:rPr>
        <w:t>第十条</w:t>
      </w:r>
      <w:r>
        <w:rPr>
          <w:rFonts w:eastAsia="方正仿宋_GBK" w:cs="华文仿宋"/>
          <w:b/>
          <w:color w:val="000000"/>
          <w:kern w:val="0"/>
          <w:sz w:val="30"/>
          <w:szCs w:val="30"/>
        </w:rPr>
        <w:t xml:space="preserve"> </w:t>
      </w:r>
      <w:r>
        <w:rPr>
          <w:rFonts w:hint="eastAsia" w:eastAsia="方正仿宋_GBK" w:cs="华文仿宋"/>
          <w:color w:val="000000"/>
          <w:kern w:val="0"/>
          <w:sz w:val="30"/>
          <w:szCs w:val="30"/>
        </w:rPr>
        <w:t>工程造价咨询企业信用评价每三年进行一次。信用等级证书载明有效期为三年。</w:t>
      </w:r>
    </w:p>
    <w:p>
      <w:pPr>
        <w:shd w:val="clear" w:color="auto" w:fill="FFFFFF"/>
        <w:snapToGrid w:val="0"/>
        <w:spacing w:line="440" w:lineRule="atLeast"/>
        <w:ind w:firstLine="640"/>
        <w:rPr>
          <w:rFonts w:eastAsia="方正仿宋_GBK" w:cs="华文仿宋"/>
          <w:color w:val="000000"/>
          <w:kern w:val="0"/>
          <w:sz w:val="30"/>
          <w:szCs w:val="30"/>
        </w:rPr>
      </w:pPr>
      <w:r>
        <w:rPr>
          <w:rFonts w:hint="eastAsia" w:eastAsia="方正仿宋_GBK" w:cs="华文仿宋"/>
          <w:color w:val="000000"/>
          <w:kern w:val="0"/>
          <w:sz w:val="30"/>
          <w:szCs w:val="30"/>
        </w:rPr>
        <w:t>信用等级证书载明的有效期为企业的下一评价期。在评价期内未申请信用等级评价的企业可以在下一个评价期第一年度的第三季度或第二年度的第三季度申请补评。补评企业的信用等级最高不超过</w:t>
      </w:r>
      <w:r>
        <w:rPr>
          <w:rFonts w:eastAsia="方正仿宋_GBK" w:cs="华文仿宋"/>
          <w:color w:val="000000"/>
          <w:kern w:val="0"/>
          <w:sz w:val="30"/>
          <w:szCs w:val="30"/>
        </w:rPr>
        <w:t>4A</w:t>
      </w:r>
      <w:r>
        <w:rPr>
          <w:rFonts w:hint="eastAsia" w:eastAsia="方正仿宋_GBK" w:cs="华文仿宋"/>
          <w:color w:val="000000"/>
          <w:kern w:val="0"/>
          <w:sz w:val="30"/>
          <w:szCs w:val="30"/>
        </w:rPr>
        <w:t>。</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企业在信用等级证书有效期内发生名称变更，所持有的信用等级证书自企业名称变更之日起自行失效。企业变更名称，可以持失效的信用等级证书申请换发证书。</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企业在信用等级证书有效期内发生分立或合并的，所持有的信用等级证书自企业分立或合并之日起自行失效。分立企业或合并企业符合评价条件的，可以适时申请信用等级评定。</w:t>
      </w:r>
    </w:p>
    <w:p>
      <w:pPr>
        <w:shd w:val="clear" w:color="auto" w:fill="FFFFFF"/>
        <w:snapToGrid w:val="0"/>
        <w:spacing w:line="440" w:lineRule="atLeast"/>
        <w:ind w:firstLine="602" w:firstLineChars="200"/>
        <w:rPr>
          <w:rFonts w:eastAsia="方正仿宋_GBK" w:cs="华文仿宋"/>
          <w:color w:val="000000"/>
          <w:kern w:val="0"/>
          <w:sz w:val="30"/>
          <w:szCs w:val="30"/>
        </w:rPr>
      </w:pPr>
      <w:r>
        <w:rPr>
          <w:rFonts w:hint="eastAsia" w:eastAsia="方正仿宋_GBK" w:cs="华文仿宋"/>
          <w:b/>
          <w:color w:val="000000"/>
          <w:kern w:val="0"/>
          <w:sz w:val="30"/>
          <w:szCs w:val="30"/>
        </w:rPr>
        <w:t>第十一条</w:t>
      </w:r>
      <w:r>
        <w:rPr>
          <w:rFonts w:eastAsia="方正仿宋_GBK" w:cs="华文仿宋"/>
          <w:b/>
          <w:color w:val="000000"/>
          <w:kern w:val="0"/>
          <w:sz w:val="30"/>
          <w:szCs w:val="30"/>
        </w:rPr>
        <w:t xml:space="preserve">  </w:t>
      </w:r>
      <w:r>
        <w:rPr>
          <w:rFonts w:hint="eastAsia" w:eastAsia="方正仿宋_GBK" w:cs="华文仿宋"/>
          <w:color w:val="000000"/>
          <w:kern w:val="0"/>
          <w:sz w:val="30"/>
          <w:szCs w:val="30"/>
        </w:rPr>
        <w:t>信用评价结果的运用：</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（一）企业的信用评价结果和有关信用信息报政府信用管理部门，并提供给“信用江苏”；</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（二）企业的信用等级作为政府有关部门、造价管理机构实行差别化监督管理的依据；</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（三）企业的信用等级、专业咨询能力和有关信用信息作为全社会共享的公共信息，鼓励咨询市场和社会各界查询、采信和利用；</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（四）企业的信用等级可以作为咨询项目招标或直接发包时择优选择造价咨询企业的条件。</w:t>
      </w:r>
    </w:p>
    <w:p>
      <w:pPr>
        <w:shd w:val="clear" w:color="auto" w:fill="FFFFFF"/>
        <w:snapToGrid w:val="0"/>
        <w:spacing w:line="440" w:lineRule="atLeast"/>
        <w:rPr>
          <w:rFonts w:eastAsia="方正仿宋_GBK" w:cs="华文仿宋"/>
          <w:color w:val="000000"/>
          <w:kern w:val="0"/>
          <w:sz w:val="30"/>
          <w:szCs w:val="30"/>
        </w:rPr>
      </w:pPr>
      <w:r>
        <w:rPr>
          <w:rFonts w:hint="eastAsia" w:eastAsia="方正仿宋_GBK" w:cs="华文仿宋"/>
          <w:color w:val="000000"/>
          <w:kern w:val="0"/>
          <w:sz w:val="30"/>
          <w:szCs w:val="30"/>
        </w:rPr>
        <w:t>　　</w:t>
      </w:r>
      <w:r>
        <w:rPr>
          <w:rFonts w:eastAsia="方正仿宋_GBK" w:cs="华文仿宋"/>
          <w:color w:val="000000"/>
          <w:kern w:val="0"/>
          <w:sz w:val="30"/>
          <w:szCs w:val="30"/>
        </w:rPr>
        <w:t xml:space="preserve"> </w:t>
      </w:r>
      <w:r>
        <w:rPr>
          <w:rFonts w:hint="eastAsia" w:eastAsia="方正仿宋_GBK" w:cs="华文仿宋"/>
          <w:b/>
          <w:color w:val="000000"/>
          <w:kern w:val="0"/>
          <w:sz w:val="30"/>
          <w:szCs w:val="30"/>
        </w:rPr>
        <w:t>第十二条</w:t>
      </w:r>
      <w:r>
        <w:rPr>
          <w:rFonts w:eastAsia="方正仿宋_GBK" w:cs="华文仿宋"/>
          <w:b/>
          <w:color w:val="000000"/>
          <w:kern w:val="0"/>
          <w:sz w:val="30"/>
          <w:szCs w:val="30"/>
        </w:rPr>
        <w:t xml:space="preserve"> </w:t>
      </w:r>
      <w:r>
        <w:rPr>
          <w:rFonts w:hint="eastAsia" w:eastAsia="方正仿宋_GBK" w:cs="华文仿宋"/>
          <w:color w:val="000000"/>
          <w:kern w:val="0"/>
          <w:sz w:val="30"/>
          <w:szCs w:val="30"/>
        </w:rPr>
        <w:t>工程造价咨询企业信用等级实行动态管理。在信用等级证书有效期内，发现有下列情形的，视情节轻重对企业信用等级给予降级或撤销处理。</w:t>
      </w:r>
    </w:p>
    <w:p>
      <w:pPr>
        <w:shd w:val="clear" w:color="auto" w:fill="FFFFFF"/>
        <w:tabs>
          <w:tab w:val="left" w:pos="1260"/>
        </w:tabs>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（一）企业及企业员工在工程造价咨询活动中存在违法违规行为，受到行政、刑事处罚的；</w:t>
      </w:r>
    </w:p>
    <w:p>
      <w:pPr>
        <w:shd w:val="clear" w:color="auto" w:fill="FFFFFF"/>
        <w:tabs>
          <w:tab w:val="left" w:pos="1260"/>
        </w:tabs>
        <w:snapToGrid w:val="0"/>
        <w:spacing w:line="440" w:lineRule="atLeast"/>
        <w:rPr>
          <w:rFonts w:eastAsia="方正仿宋_GBK" w:cs="华文仿宋"/>
          <w:color w:val="000000"/>
          <w:kern w:val="0"/>
          <w:sz w:val="30"/>
          <w:szCs w:val="30"/>
        </w:rPr>
      </w:pPr>
      <w:r>
        <w:rPr>
          <w:rFonts w:eastAsia="方正仿宋_GBK" w:cs="华文仿宋"/>
          <w:color w:val="000000"/>
          <w:kern w:val="0"/>
          <w:sz w:val="30"/>
          <w:szCs w:val="30"/>
        </w:rPr>
        <w:t xml:space="preserve">    </w:t>
      </w:r>
      <w:r>
        <w:rPr>
          <w:rFonts w:hint="eastAsia" w:eastAsia="方正仿宋_GBK" w:cs="华文仿宋"/>
          <w:color w:val="000000"/>
          <w:kern w:val="0"/>
          <w:sz w:val="30"/>
          <w:szCs w:val="30"/>
        </w:rPr>
        <w:t>（二）企业资质延续未通过的；</w:t>
      </w:r>
    </w:p>
    <w:p>
      <w:pPr>
        <w:shd w:val="clear" w:color="auto" w:fill="FFFFFF"/>
        <w:tabs>
          <w:tab w:val="left" w:pos="1260"/>
        </w:tabs>
        <w:snapToGrid w:val="0"/>
        <w:spacing w:line="440" w:lineRule="atLeast"/>
        <w:ind w:firstLine="640"/>
        <w:rPr>
          <w:rFonts w:eastAsia="方正仿宋_GBK" w:cs="华文仿宋"/>
          <w:color w:val="000000"/>
          <w:kern w:val="0"/>
          <w:sz w:val="30"/>
          <w:szCs w:val="30"/>
        </w:rPr>
      </w:pPr>
      <w:r>
        <w:rPr>
          <w:rFonts w:hint="eastAsia" w:eastAsia="方正仿宋_GBK" w:cs="华文仿宋"/>
          <w:color w:val="000000"/>
          <w:kern w:val="0"/>
          <w:sz w:val="30"/>
          <w:szCs w:val="30"/>
        </w:rPr>
        <w:t>（三）企业提供虚假评价材料、虚假证明性材料或拒绝接受监督检查，情节严重的；</w:t>
      </w:r>
    </w:p>
    <w:p>
      <w:pPr>
        <w:shd w:val="clear" w:color="auto" w:fill="FFFFFF"/>
        <w:tabs>
          <w:tab w:val="left" w:pos="1260"/>
        </w:tabs>
        <w:snapToGrid w:val="0"/>
        <w:spacing w:line="440" w:lineRule="atLeast"/>
        <w:rPr>
          <w:rFonts w:eastAsia="方正仿宋_GBK" w:cs="华文仿宋"/>
          <w:color w:val="000000"/>
          <w:kern w:val="0"/>
          <w:sz w:val="30"/>
          <w:szCs w:val="30"/>
        </w:rPr>
      </w:pPr>
      <w:r>
        <w:rPr>
          <w:rFonts w:eastAsia="方正仿宋_GBK" w:cs="华文仿宋"/>
          <w:color w:val="000000"/>
          <w:kern w:val="0"/>
          <w:sz w:val="30"/>
          <w:szCs w:val="30"/>
        </w:rPr>
        <w:t xml:space="preserve">    </w:t>
      </w:r>
      <w:r>
        <w:rPr>
          <w:rFonts w:hint="eastAsia" w:eastAsia="方正仿宋_GBK" w:cs="华文仿宋"/>
          <w:color w:val="000000"/>
          <w:kern w:val="0"/>
          <w:sz w:val="30"/>
          <w:szCs w:val="30"/>
        </w:rPr>
        <w:t>（四）企业及企业员工违反工程造价咨询规范、标准、规程、规则，情节严重，受到政府部门、造价管理机构责令整改、通报批评、“黄牌警告”的。</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被降级或撤销信用等级的企业，由作出降级或撤销决定的省工程造价管理协会在“江苏省工程造价管理协会网”予以公布。被降级或撤销信用等级的企业在原证书有效期内不得申请信用等级重新评价。</w:t>
      </w:r>
    </w:p>
    <w:p>
      <w:pPr>
        <w:shd w:val="clear" w:color="auto" w:fill="FFFFFF"/>
        <w:snapToGrid w:val="0"/>
        <w:spacing w:line="440" w:lineRule="atLeast"/>
        <w:ind w:firstLine="602" w:firstLineChars="200"/>
        <w:rPr>
          <w:rFonts w:eastAsia="方正仿宋_GBK" w:cs="华文仿宋"/>
          <w:color w:val="000000"/>
          <w:kern w:val="0"/>
          <w:sz w:val="30"/>
          <w:szCs w:val="30"/>
        </w:rPr>
      </w:pPr>
      <w:r>
        <w:rPr>
          <w:rFonts w:hint="eastAsia" w:eastAsia="方正仿宋_GBK" w:cs="华文仿宋"/>
          <w:b/>
          <w:bCs/>
          <w:color w:val="000000"/>
          <w:kern w:val="0"/>
          <w:sz w:val="30"/>
          <w:szCs w:val="30"/>
        </w:rPr>
        <w:t>第十三条</w:t>
      </w:r>
      <w:r>
        <w:rPr>
          <w:rFonts w:eastAsia="方正仿宋_GBK" w:cs="华文仿宋"/>
          <w:b/>
          <w:bCs/>
          <w:color w:val="000000"/>
          <w:kern w:val="0"/>
          <w:sz w:val="30"/>
          <w:szCs w:val="30"/>
        </w:rPr>
        <w:t xml:space="preserve"> </w:t>
      </w:r>
      <w:r>
        <w:rPr>
          <w:rFonts w:hint="eastAsia" w:eastAsia="方正仿宋_GBK" w:cs="华文仿宋"/>
          <w:color w:val="000000"/>
          <w:kern w:val="0"/>
          <w:sz w:val="30"/>
          <w:szCs w:val="30"/>
        </w:rPr>
        <w:t>各级参加信用评价的工作人员和专家成员，应认真履行职责，承担评价责任，不得徇私舞弊。</w:t>
      </w: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参加信用评价的工作人员和专家成员违反规定的，由省或市工程造价管理协会责令整改；情节严重、影响恶劣的，由省工程造价管理协会将有关情况通报所在单位，建议给予相应纪律处分；滥用职权、玩忽职守、徇私舞弊、弄虚作假，触犯法律法规的，由省工程造价管理协会提请有关部门、有关机构追究行政责任或法律责任。</w:t>
      </w:r>
    </w:p>
    <w:p>
      <w:pPr>
        <w:shd w:val="clear" w:color="auto" w:fill="FFFFFF"/>
        <w:snapToGrid w:val="0"/>
        <w:spacing w:line="440" w:lineRule="atLeast"/>
        <w:rPr>
          <w:rFonts w:eastAsia="方正仿宋_GBK" w:cs="华文仿宋"/>
          <w:color w:val="000000"/>
          <w:kern w:val="0"/>
          <w:sz w:val="30"/>
          <w:szCs w:val="30"/>
        </w:rPr>
      </w:pPr>
      <w:r>
        <w:rPr>
          <w:rFonts w:eastAsia="方正仿宋_GBK" w:cs="华文仿宋"/>
          <w:color w:val="000000"/>
          <w:kern w:val="0"/>
          <w:sz w:val="30"/>
          <w:szCs w:val="30"/>
        </w:rPr>
        <w:t xml:space="preserve">    </w:t>
      </w:r>
      <w:r>
        <w:rPr>
          <w:rFonts w:hint="eastAsia" w:eastAsia="方正仿宋_GBK" w:cs="华文仿宋"/>
          <w:b/>
          <w:bCs/>
          <w:color w:val="000000"/>
          <w:kern w:val="0"/>
          <w:sz w:val="30"/>
          <w:szCs w:val="30"/>
        </w:rPr>
        <w:t>第十四条</w:t>
      </w:r>
      <w:r>
        <w:rPr>
          <w:rFonts w:eastAsia="方正仿宋_GBK" w:cs="华文仿宋"/>
          <w:b/>
          <w:bCs/>
          <w:color w:val="000000"/>
          <w:kern w:val="0"/>
          <w:sz w:val="30"/>
          <w:szCs w:val="30"/>
        </w:rPr>
        <w:t xml:space="preserve"> </w:t>
      </w:r>
      <w:r>
        <w:rPr>
          <w:rFonts w:hint="eastAsia" w:eastAsia="方正仿宋_GBK" w:cs="华文仿宋"/>
          <w:color w:val="000000"/>
          <w:kern w:val="0"/>
          <w:sz w:val="30"/>
          <w:szCs w:val="30"/>
        </w:rPr>
        <w:t>本办法由江苏省工程造价管理协会负责解释。</w:t>
      </w:r>
    </w:p>
    <w:p>
      <w:pPr>
        <w:shd w:val="clear" w:color="auto" w:fill="FFFFFF"/>
        <w:snapToGrid w:val="0"/>
        <w:spacing w:line="440" w:lineRule="atLeast"/>
        <w:ind w:firstLine="602" w:firstLineChars="200"/>
        <w:rPr>
          <w:rFonts w:eastAsia="方正仿宋_GBK" w:cs="华文仿宋"/>
          <w:color w:val="000000"/>
          <w:kern w:val="0"/>
          <w:sz w:val="30"/>
          <w:szCs w:val="30"/>
        </w:rPr>
      </w:pPr>
      <w:r>
        <w:rPr>
          <w:rFonts w:hint="eastAsia" w:eastAsia="方正仿宋_GBK" w:cs="华文仿宋"/>
          <w:b/>
          <w:color w:val="000000"/>
          <w:kern w:val="0"/>
          <w:sz w:val="30"/>
          <w:szCs w:val="30"/>
        </w:rPr>
        <w:t>第十五条</w:t>
      </w:r>
      <w:r>
        <w:rPr>
          <w:rFonts w:eastAsia="方正仿宋_GBK" w:cs="华文仿宋"/>
          <w:b/>
          <w:color w:val="000000"/>
          <w:kern w:val="0"/>
          <w:sz w:val="30"/>
          <w:szCs w:val="30"/>
        </w:rPr>
        <w:t xml:space="preserve"> </w:t>
      </w:r>
      <w:r>
        <w:rPr>
          <w:rFonts w:hint="eastAsia" w:eastAsia="方正仿宋_GBK" w:cs="华文仿宋"/>
          <w:color w:val="000000"/>
          <w:kern w:val="0"/>
          <w:sz w:val="30"/>
          <w:szCs w:val="30"/>
        </w:rPr>
        <w:t>本办法自印发之日起施行。</w:t>
      </w:r>
    </w:p>
    <w:p>
      <w:pPr>
        <w:shd w:val="clear" w:color="auto" w:fill="FFFFFF"/>
        <w:snapToGrid w:val="0"/>
        <w:spacing w:line="440" w:lineRule="atLeast"/>
        <w:rPr>
          <w:rFonts w:eastAsia="方正仿宋_GBK" w:cs="华文仿宋"/>
          <w:color w:val="000000"/>
          <w:kern w:val="0"/>
          <w:sz w:val="30"/>
          <w:szCs w:val="30"/>
        </w:rPr>
      </w:pPr>
    </w:p>
    <w:p>
      <w:pPr>
        <w:shd w:val="clear" w:color="auto" w:fill="FFFFFF"/>
        <w:snapToGrid w:val="0"/>
        <w:spacing w:line="440" w:lineRule="atLeast"/>
        <w:ind w:firstLine="600" w:firstLineChars="200"/>
        <w:rPr>
          <w:rFonts w:eastAsia="方正仿宋_GBK" w:cs="华文仿宋"/>
          <w:color w:val="000000"/>
          <w:kern w:val="0"/>
          <w:sz w:val="30"/>
          <w:szCs w:val="30"/>
        </w:rPr>
      </w:pPr>
      <w:r>
        <w:rPr>
          <w:rFonts w:hint="eastAsia" w:eastAsia="方正仿宋_GBK" w:cs="华文仿宋"/>
          <w:color w:val="000000"/>
          <w:kern w:val="0"/>
          <w:sz w:val="30"/>
          <w:szCs w:val="30"/>
        </w:rPr>
        <w:t>附表：</w:t>
      </w:r>
      <w:r>
        <w:rPr>
          <w:rFonts w:eastAsia="方正仿宋_GBK" w:cs="华文仿宋"/>
          <w:color w:val="000000"/>
          <w:kern w:val="0"/>
          <w:sz w:val="30"/>
          <w:szCs w:val="30"/>
        </w:rPr>
        <w:t>1. </w:t>
      </w:r>
      <w:r>
        <w:rPr>
          <w:rFonts w:hint="eastAsia" w:eastAsia="方正仿宋_GBK" w:cs="华文仿宋"/>
          <w:color w:val="000000"/>
          <w:kern w:val="0"/>
          <w:sz w:val="30"/>
          <w:szCs w:val="30"/>
        </w:rPr>
        <w:t>江苏省工程造价咨询企业信用评价基本信息表；</w:t>
      </w:r>
    </w:p>
    <w:p>
      <w:pPr>
        <w:shd w:val="clear" w:color="auto" w:fill="FFFFFF"/>
        <w:snapToGrid w:val="0"/>
        <w:spacing w:line="440" w:lineRule="atLeast"/>
        <w:ind w:firstLine="1476" w:firstLineChars="492"/>
        <w:rPr>
          <w:rFonts w:eastAsia="方正仿宋_GBK" w:cs="华文仿宋"/>
          <w:color w:val="000000"/>
          <w:kern w:val="0"/>
          <w:sz w:val="30"/>
          <w:szCs w:val="30"/>
        </w:rPr>
      </w:pPr>
      <w:r>
        <w:rPr>
          <w:rFonts w:eastAsia="方正仿宋_GBK" w:cs="华文仿宋"/>
          <w:color w:val="000000"/>
          <w:kern w:val="0"/>
          <w:sz w:val="30"/>
          <w:szCs w:val="30"/>
        </w:rPr>
        <w:t>2. </w:t>
      </w:r>
      <w:r>
        <w:rPr>
          <w:rFonts w:hint="eastAsia" w:eastAsia="方正仿宋_GBK" w:cs="华文仿宋"/>
          <w:color w:val="000000"/>
          <w:kern w:val="0"/>
          <w:sz w:val="30"/>
          <w:szCs w:val="30"/>
        </w:rPr>
        <w:t>江苏省工程造价咨询企业信用评价标准和评分表；</w:t>
      </w:r>
    </w:p>
    <w:p>
      <w:pPr>
        <w:shd w:val="clear" w:color="auto" w:fill="FFFFFF"/>
        <w:snapToGrid w:val="0"/>
        <w:spacing w:line="440" w:lineRule="atLeast"/>
        <w:ind w:firstLine="1476" w:firstLineChars="492"/>
        <w:rPr>
          <w:rFonts w:eastAsia="方正仿宋_GBK" w:cs="华文仿宋"/>
          <w:color w:val="000000"/>
          <w:kern w:val="0"/>
          <w:sz w:val="30"/>
          <w:szCs w:val="30"/>
        </w:rPr>
      </w:pPr>
      <w:r>
        <w:rPr>
          <w:rFonts w:eastAsia="方正仿宋_GBK" w:cs="华文仿宋"/>
          <w:color w:val="000000"/>
          <w:kern w:val="0"/>
          <w:sz w:val="30"/>
          <w:szCs w:val="30"/>
        </w:rPr>
        <w:t>3. </w:t>
      </w:r>
      <w:r>
        <w:rPr>
          <w:rFonts w:hint="eastAsia" w:eastAsia="方正仿宋_GBK" w:cs="华文仿宋"/>
          <w:color w:val="000000"/>
          <w:kern w:val="0"/>
          <w:sz w:val="30"/>
          <w:szCs w:val="30"/>
        </w:rPr>
        <w:t>江苏省工程造价咨询企业专业咨询能力评价加分表；</w:t>
      </w:r>
    </w:p>
    <w:p>
      <w:pPr>
        <w:shd w:val="clear" w:color="auto" w:fill="FFFFFF"/>
        <w:snapToGrid w:val="0"/>
        <w:spacing w:line="440" w:lineRule="atLeast"/>
        <w:ind w:firstLine="1476" w:firstLineChars="492"/>
        <w:rPr>
          <w:rFonts w:eastAsia="方正仿宋_GBK" w:cs="华文仿宋"/>
          <w:color w:val="000000"/>
          <w:kern w:val="0"/>
          <w:sz w:val="30"/>
          <w:szCs w:val="30"/>
        </w:rPr>
      </w:pPr>
      <w:r>
        <w:rPr>
          <w:rFonts w:eastAsia="方正仿宋_GBK" w:cs="华文仿宋"/>
          <w:color w:val="000000"/>
          <w:kern w:val="0"/>
          <w:sz w:val="30"/>
          <w:szCs w:val="30"/>
        </w:rPr>
        <w:t>4. </w:t>
      </w:r>
      <w:r>
        <w:rPr>
          <w:rFonts w:hint="eastAsia" w:eastAsia="方正仿宋_GBK" w:cs="华文仿宋"/>
          <w:color w:val="000000"/>
          <w:kern w:val="0"/>
          <w:sz w:val="30"/>
          <w:szCs w:val="30"/>
        </w:rPr>
        <w:t>江苏省工程造价咨询企业良好行为评价加分表；</w:t>
      </w:r>
    </w:p>
    <w:p>
      <w:pPr>
        <w:shd w:val="clear" w:color="auto" w:fill="FFFFFF"/>
        <w:snapToGrid w:val="0"/>
        <w:spacing w:line="440" w:lineRule="atLeast"/>
        <w:ind w:firstLine="1476" w:firstLineChars="492"/>
        <w:rPr>
          <w:rFonts w:ascii="华文仿宋" w:hAnsi="华文仿宋" w:eastAsia="华文仿宋" w:cs="华文仿宋"/>
          <w:color w:val="000000"/>
          <w:kern w:val="0"/>
          <w:sz w:val="30"/>
          <w:szCs w:val="30"/>
        </w:rPr>
      </w:pPr>
      <w:r>
        <w:rPr>
          <w:rFonts w:eastAsia="方正仿宋_GBK" w:cs="华文仿宋"/>
          <w:color w:val="000000"/>
          <w:kern w:val="0"/>
          <w:sz w:val="30"/>
          <w:szCs w:val="30"/>
        </w:rPr>
        <w:t>5. </w:t>
      </w:r>
      <w:r>
        <w:rPr>
          <w:rFonts w:hint="eastAsia" w:eastAsia="方正仿宋_GBK" w:cs="华文仿宋"/>
          <w:color w:val="000000"/>
          <w:kern w:val="0"/>
          <w:sz w:val="30"/>
          <w:szCs w:val="30"/>
        </w:rPr>
        <w:t>江苏省工程造价咨询企业不良行为评价减分表。</w:t>
      </w:r>
    </w:p>
    <w:p>
      <w:pPr>
        <w:shd w:val="clear" w:color="auto" w:fill="FFFFFF"/>
        <w:snapToGrid w:val="0"/>
        <w:spacing w:line="440" w:lineRule="atLeast"/>
        <w:rPr>
          <w:rFonts w:ascii="华文仿宋" w:hAnsi="华文仿宋" w:eastAsia="华文仿宋" w:cs="华文仿宋"/>
          <w:color w:val="000000"/>
          <w:kern w:val="0"/>
          <w:sz w:val="32"/>
          <w:szCs w:val="32"/>
        </w:rPr>
      </w:pPr>
    </w:p>
    <w:p>
      <w:pPr>
        <w:shd w:val="clear" w:color="auto" w:fill="FFFFFF"/>
        <w:snapToGrid w:val="0"/>
        <w:spacing w:line="440" w:lineRule="atLeast"/>
        <w:rPr>
          <w:rFonts w:ascii="华文仿宋" w:hAnsi="华文仿宋" w:eastAsia="华文仿宋" w:cs="华文仿宋"/>
          <w:color w:val="000000"/>
          <w:kern w:val="0"/>
          <w:sz w:val="32"/>
          <w:szCs w:val="32"/>
        </w:rPr>
      </w:pPr>
    </w:p>
    <w:p>
      <w:pPr>
        <w:shd w:val="clear" w:color="auto" w:fill="FFFFFF"/>
        <w:snapToGrid w:val="0"/>
        <w:spacing w:line="440" w:lineRule="atLeast"/>
        <w:rPr>
          <w:rFonts w:ascii="华文仿宋" w:hAnsi="华文仿宋" w:eastAsia="华文仿宋" w:cs="华文仿宋"/>
          <w:color w:val="000000"/>
          <w:kern w:val="0"/>
          <w:sz w:val="32"/>
          <w:szCs w:val="32"/>
        </w:rPr>
      </w:pPr>
    </w:p>
    <w:p>
      <w:pPr>
        <w:shd w:val="clear" w:color="auto" w:fill="FFFFFF"/>
        <w:snapToGrid w:val="0"/>
        <w:spacing w:line="440" w:lineRule="atLeast"/>
        <w:rPr>
          <w:rFonts w:ascii="华文仿宋" w:hAnsi="华文仿宋" w:eastAsia="华文仿宋" w:cs="华文仿宋"/>
          <w:color w:val="000000"/>
          <w:kern w:val="0"/>
          <w:sz w:val="32"/>
          <w:szCs w:val="32"/>
        </w:rPr>
        <w:sectPr>
          <w:footerReference r:id="rId3" w:type="default"/>
          <w:footerReference r:id="rId4" w:type="even"/>
          <w:pgSz w:w="11906" w:h="16838"/>
          <w:pgMar w:top="2268" w:right="1588" w:bottom="2268" w:left="1588" w:header="851" w:footer="1361" w:gutter="0"/>
          <w:cols w:space="425" w:num="1"/>
          <w:docGrid w:type="lines" w:linePitch="312" w:charSpace="0"/>
        </w:sectPr>
      </w:pPr>
    </w:p>
    <w:p>
      <w:pPr>
        <w:rPr>
          <w:rFonts w:eastAsia="方正黑体_GBK"/>
          <w:color w:val="000000"/>
          <w:kern w:val="0"/>
          <w:sz w:val="32"/>
          <w:szCs w:val="32"/>
        </w:rPr>
      </w:pPr>
      <w:r>
        <w:rPr>
          <w:rFonts w:hint="eastAsia" w:eastAsia="方正黑体_GBK"/>
          <w:color w:val="000000"/>
          <w:kern w:val="0"/>
          <w:sz w:val="32"/>
          <w:szCs w:val="32"/>
        </w:rPr>
        <w:t>附表</w:t>
      </w:r>
      <w:r>
        <w:rPr>
          <w:rFonts w:eastAsia="方正黑体_GBK"/>
          <w:color w:val="000000"/>
          <w:kern w:val="0"/>
          <w:sz w:val="32"/>
          <w:szCs w:val="32"/>
        </w:rPr>
        <w:t>1</w:t>
      </w:r>
    </w:p>
    <w:p>
      <w:pPr>
        <w:jc w:val="center"/>
        <w:rPr>
          <w:color w:val="000000"/>
          <w:sz w:val="36"/>
          <w:szCs w:val="36"/>
        </w:rPr>
      </w:pPr>
      <w:r>
        <w:rPr>
          <w:rFonts w:hint="eastAsia" w:ascii="方正小标宋_GBK" w:hAnsi="宋体" w:eastAsia="方正小标宋_GBK" w:cs="宋体"/>
          <w:color w:val="000000"/>
          <w:kern w:val="0"/>
          <w:sz w:val="36"/>
          <w:szCs w:val="36"/>
        </w:rPr>
        <w:t>江苏省工程造价咨询企业信用评价基本信息</w:t>
      </w:r>
    </w:p>
    <w:p>
      <w:pPr>
        <w:spacing w:line="240" w:lineRule="exact"/>
        <w:rPr>
          <w:color w:val="000000"/>
        </w:rPr>
      </w:pPr>
    </w:p>
    <w:tbl>
      <w:tblPr>
        <w:tblStyle w:val="7"/>
        <w:tblW w:w="143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3316"/>
        <w:gridCol w:w="1220"/>
        <w:gridCol w:w="1620"/>
        <w:gridCol w:w="1560"/>
        <w:gridCol w:w="1560"/>
        <w:gridCol w:w="1060"/>
        <w:gridCol w:w="35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tcBorders>
              <w:top w:val="single" w:color="auto" w:sz="8" w:space="0"/>
            </w:tcBorders>
            <w:noWrap/>
            <w:vAlign w:val="center"/>
          </w:tcPr>
          <w:p>
            <w:pPr>
              <w:widowControl/>
              <w:ind w:left="-63" w:leftChars="-30" w:right="-63" w:rightChars="-30"/>
              <w:jc w:val="center"/>
              <w:rPr>
                <w:color w:val="000000"/>
                <w:kern w:val="0"/>
                <w:sz w:val="18"/>
                <w:szCs w:val="18"/>
              </w:rPr>
            </w:pPr>
            <w:r>
              <w:rPr>
                <w:color w:val="000000"/>
                <w:kern w:val="0"/>
                <w:sz w:val="18"/>
                <w:szCs w:val="18"/>
              </w:rPr>
              <w:t>1</w:t>
            </w:r>
          </w:p>
        </w:tc>
        <w:tc>
          <w:tcPr>
            <w:tcW w:w="3316" w:type="dxa"/>
            <w:tcBorders>
              <w:top w:val="single" w:color="auto" w:sz="8" w:space="0"/>
            </w:tcBorders>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申请信用评价企业名称</w:t>
            </w:r>
          </w:p>
        </w:tc>
        <w:tc>
          <w:tcPr>
            <w:tcW w:w="10532" w:type="dxa"/>
            <w:gridSpan w:val="6"/>
            <w:tcBorders>
              <w:top w:val="single" w:color="auto" w:sz="8" w:space="0"/>
            </w:tcBorders>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（由信用评价系统从企业资质管理系统自动提取，不需企业填写）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noWrap/>
            <w:vAlign w:val="center"/>
          </w:tcPr>
          <w:p>
            <w:pPr>
              <w:widowControl/>
              <w:ind w:left="-63" w:leftChars="-30" w:right="-63" w:rightChars="-30"/>
              <w:jc w:val="center"/>
              <w:rPr>
                <w:color w:val="000000"/>
                <w:kern w:val="0"/>
                <w:sz w:val="18"/>
                <w:szCs w:val="18"/>
              </w:rPr>
            </w:pPr>
            <w:r>
              <w:rPr>
                <w:color w:val="000000"/>
                <w:kern w:val="0"/>
                <w:sz w:val="18"/>
                <w:szCs w:val="18"/>
              </w:rPr>
              <w:t>2</w:t>
            </w:r>
          </w:p>
        </w:tc>
        <w:tc>
          <w:tcPr>
            <w:tcW w:w="3316" w:type="dxa"/>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企业注册地址</w:t>
            </w:r>
          </w:p>
        </w:tc>
        <w:tc>
          <w:tcPr>
            <w:tcW w:w="10532" w:type="dxa"/>
            <w:gridSpan w:val="6"/>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（由信用评价系统从企业资质管理系统自动提取，不需企业填写）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noWrap/>
            <w:vAlign w:val="center"/>
          </w:tcPr>
          <w:p>
            <w:pPr>
              <w:widowControl/>
              <w:ind w:left="-63" w:leftChars="-30" w:right="-63" w:rightChars="-30"/>
              <w:jc w:val="center"/>
              <w:rPr>
                <w:color w:val="000000"/>
                <w:kern w:val="0"/>
                <w:sz w:val="18"/>
                <w:szCs w:val="18"/>
              </w:rPr>
            </w:pPr>
            <w:r>
              <w:rPr>
                <w:color w:val="000000"/>
                <w:kern w:val="0"/>
                <w:sz w:val="18"/>
                <w:szCs w:val="18"/>
              </w:rPr>
              <w:t>3</w:t>
            </w:r>
          </w:p>
        </w:tc>
        <w:tc>
          <w:tcPr>
            <w:tcW w:w="3316" w:type="dxa"/>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企业法定代表人姓名</w:t>
            </w:r>
          </w:p>
        </w:tc>
        <w:tc>
          <w:tcPr>
            <w:tcW w:w="10532" w:type="dxa"/>
            <w:gridSpan w:val="6"/>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（由信用评价系统从企业资质管理系统自动提取，不需企业填写）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noWrap/>
            <w:vAlign w:val="center"/>
          </w:tcPr>
          <w:p>
            <w:pPr>
              <w:widowControl/>
              <w:ind w:left="-63" w:leftChars="-30" w:right="-63" w:rightChars="-30"/>
              <w:jc w:val="center"/>
              <w:rPr>
                <w:color w:val="000000"/>
                <w:kern w:val="0"/>
                <w:sz w:val="18"/>
                <w:szCs w:val="18"/>
              </w:rPr>
            </w:pPr>
            <w:r>
              <w:rPr>
                <w:color w:val="000000"/>
                <w:kern w:val="0"/>
                <w:sz w:val="18"/>
                <w:szCs w:val="18"/>
              </w:rPr>
              <w:t>4</w:t>
            </w:r>
          </w:p>
        </w:tc>
        <w:tc>
          <w:tcPr>
            <w:tcW w:w="3316" w:type="dxa"/>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企业申请信用评价联系人</w:t>
            </w:r>
          </w:p>
        </w:tc>
        <w:tc>
          <w:tcPr>
            <w:tcW w:w="1220" w:type="dxa"/>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姓名</w:t>
            </w:r>
          </w:p>
        </w:tc>
        <w:tc>
          <w:tcPr>
            <w:tcW w:w="1620" w:type="dxa"/>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（由企业填写）</w:t>
            </w:r>
          </w:p>
        </w:tc>
        <w:tc>
          <w:tcPr>
            <w:tcW w:w="1560" w:type="dxa"/>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职务</w:t>
            </w:r>
          </w:p>
        </w:tc>
        <w:tc>
          <w:tcPr>
            <w:tcW w:w="1560" w:type="dxa"/>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（由企业填写）</w:t>
            </w:r>
          </w:p>
        </w:tc>
        <w:tc>
          <w:tcPr>
            <w:tcW w:w="1060" w:type="dxa"/>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联系电话</w:t>
            </w:r>
          </w:p>
        </w:tc>
        <w:tc>
          <w:tcPr>
            <w:tcW w:w="3512" w:type="dxa"/>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（由企业填写）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noWrap/>
            <w:vAlign w:val="center"/>
          </w:tcPr>
          <w:p>
            <w:pPr>
              <w:widowControl/>
              <w:ind w:left="-63" w:leftChars="-30" w:right="-63" w:rightChars="-30"/>
              <w:jc w:val="center"/>
              <w:rPr>
                <w:color w:val="000000"/>
                <w:kern w:val="0"/>
                <w:sz w:val="18"/>
                <w:szCs w:val="18"/>
              </w:rPr>
            </w:pPr>
            <w:r>
              <w:rPr>
                <w:color w:val="000000"/>
                <w:kern w:val="0"/>
                <w:sz w:val="18"/>
                <w:szCs w:val="18"/>
              </w:rPr>
              <w:t>5</w:t>
            </w:r>
          </w:p>
        </w:tc>
        <w:tc>
          <w:tcPr>
            <w:tcW w:w="3316" w:type="dxa"/>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企业工商登记注册地</w:t>
            </w:r>
          </w:p>
        </w:tc>
        <w:tc>
          <w:tcPr>
            <w:tcW w:w="10532" w:type="dxa"/>
            <w:gridSpan w:val="6"/>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（由信用评价系统从企业资质管理系统自动提取，不需企业填写）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noWrap/>
            <w:vAlign w:val="center"/>
          </w:tcPr>
          <w:p>
            <w:pPr>
              <w:widowControl/>
              <w:ind w:left="-63" w:leftChars="-30" w:right="-63" w:rightChars="-30"/>
              <w:jc w:val="center"/>
              <w:rPr>
                <w:color w:val="000000"/>
                <w:kern w:val="0"/>
                <w:sz w:val="18"/>
                <w:szCs w:val="18"/>
              </w:rPr>
            </w:pPr>
            <w:r>
              <w:rPr>
                <w:color w:val="000000"/>
                <w:kern w:val="0"/>
                <w:sz w:val="18"/>
                <w:szCs w:val="18"/>
              </w:rPr>
              <w:t>6</w:t>
            </w:r>
          </w:p>
        </w:tc>
        <w:tc>
          <w:tcPr>
            <w:tcW w:w="3316" w:type="dxa"/>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企业工商登记注册机关</w:t>
            </w:r>
          </w:p>
        </w:tc>
        <w:tc>
          <w:tcPr>
            <w:tcW w:w="10532" w:type="dxa"/>
            <w:gridSpan w:val="6"/>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（由信用评价系统从企业资质管理系统自动提取，不需企业填写）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noWrap/>
            <w:vAlign w:val="center"/>
          </w:tcPr>
          <w:p>
            <w:pPr>
              <w:widowControl/>
              <w:ind w:left="-63" w:leftChars="-30" w:right="-63" w:rightChars="-30"/>
              <w:jc w:val="center"/>
              <w:rPr>
                <w:color w:val="000000"/>
                <w:kern w:val="0"/>
                <w:sz w:val="18"/>
                <w:szCs w:val="18"/>
              </w:rPr>
            </w:pPr>
            <w:r>
              <w:rPr>
                <w:color w:val="000000"/>
                <w:kern w:val="0"/>
                <w:sz w:val="18"/>
                <w:szCs w:val="18"/>
              </w:rPr>
              <w:t>7</w:t>
            </w:r>
          </w:p>
        </w:tc>
        <w:tc>
          <w:tcPr>
            <w:tcW w:w="3316" w:type="dxa"/>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企业注册资本金</w:t>
            </w:r>
          </w:p>
        </w:tc>
        <w:tc>
          <w:tcPr>
            <w:tcW w:w="10532" w:type="dxa"/>
            <w:gridSpan w:val="6"/>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（由信用评价系统从企业资质管理系统自动提取，不需企业填写）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noWrap/>
            <w:vAlign w:val="center"/>
          </w:tcPr>
          <w:p>
            <w:pPr>
              <w:widowControl/>
              <w:ind w:left="-63" w:leftChars="-30" w:right="-63" w:rightChars="-30"/>
              <w:jc w:val="center"/>
              <w:rPr>
                <w:color w:val="000000"/>
                <w:kern w:val="0"/>
                <w:sz w:val="18"/>
                <w:szCs w:val="18"/>
              </w:rPr>
            </w:pPr>
            <w:r>
              <w:rPr>
                <w:color w:val="000000"/>
                <w:kern w:val="0"/>
                <w:sz w:val="18"/>
                <w:szCs w:val="18"/>
              </w:rPr>
              <w:t>8</w:t>
            </w:r>
          </w:p>
        </w:tc>
        <w:tc>
          <w:tcPr>
            <w:tcW w:w="3316" w:type="dxa"/>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企业造价咨询资质等级</w:t>
            </w:r>
          </w:p>
        </w:tc>
        <w:tc>
          <w:tcPr>
            <w:tcW w:w="10532" w:type="dxa"/>
            <w:gridSpan w:val="6"/>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（由信用评价系统从企业资质管理系统自动提取，不需企业填写）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noWrap/>
            <w:vAlign w:val="center"/>
          </w:tcPr>
          <w:p>
            <w:pPr>
              <w:widowControl/>
              <w:ind w:left="-63" w:leftChars="-30" w:right="-63" w:rightChars="-30"/>
              <w:jc w:val="center"/>
              <w:rPr>
                <w:color w:val="000000"/>
                <w:kern w:val="0"/>
                <w:sz w:val="18"/>
                <w:szCs w:val="18"/>
              </w:rPr>
            </w:pPr>
            <w:r>
              <w:rPr>
                <w:color w:val="000000"/>
                <w:kern w:val="0"/>
                <w:sz w:val="18"/>
                <w:szCs w:val="18"/>
              </w:rPr>
              <w:t>9</w:t>
            </w:r>
          </w:p>
        </w:tc>
        <w:tc>
          <w:tcPr>
            <w:tcW w:w="3316" w:type="dxa"/>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江苏省工程造价管理协会</w:t>
            </w:r>
          </w:p>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信用评价结果</w:t>
            </w:r>
          </w:p>
        </w:tc>
        <w:tc>
          <w:tcPr>
            <w:tcW w:w="10532" w:type="dxa"/>
            <w:gridSpan w:val="6"/>
            <w:vAlign w:val="center"/>
          </w:tcPr>
          <w:p>
            <w:pPr>
              <w:widowControl/>
              <w:ind w:left="-63" w:leftChars="-30" w:right="-63" w:rightChars="-30"/>
              <w:jc w:val="left"/>
              <w:rPr>
                <w:rFonts w:ascii="宋体" w:cs="宋体"/>
                <w:b/>
                <w:bCs/>
                <w:color w:val="000000"/>
                <w:kern w:val="0"/>
                <w:sz w:val="18"/>
                <w:szCs w:val="18"/>
              </w:rPr>
            </w:pPr>
            <w:r>
              <w:rPr>
                <w:rFonts w:ascii="宋体" w:hAnsi="宋体" w:cs="宋体"/>
                <w:b/>
                <w:bCs/>
                <w:color w:val="000000"/>
                <w:kern w:val="0"/>
                <w:sz w:val="18"/>
                <w:szCs w:val="18"/>
              </w:rPr>
              <w:t xml:space="preserve">  2017</w:t>
            </w:r>
            <w:r>
              <w:rPr>
                <w:rFonts w:hint="eastAsia" w:ascii="宋体" w:hAnsi="宋体" w:cs="宋体"/>
                <w:b/>
                <w:bCs/>
                <w:color w:val="000000"/>
                <w:kern w:val="0"/>
                <w:sz w:val="18"/>
                <w:szCs w:val="18"/>
              </w:rPr>
              <w:t>年被评为</w:t>
            </w:r>
            <w:r>
              <w:rPr>
                <w:rFonts w:ascii="宋体" w:hAnsi="宋体" w:cs="宋体"/>
                <w:b/>
                <w:bCs/>
                <w:color w:val="000000"/>
                <w:kern w:val="0"/>
                <w:sz w:val="18"/>
                <w:szCs w:val="18"/>
                <w:u w:val="single"/>
              </w:rPr>
              <w:t xml:space="preserve">      </w:t>
            </w:r>
            <w:r>
              <w:rPr>
                <w:rFonts w:hint="eastAsia" w:ascii="宋体" w:hAnsi="宋体" w:cs="宋体"/>
                <w:color w:val="000000"/>
                <w:kern w:val="0"/>
                <w:sz w:val="18"/>
                <w:szCs w:val="18"/>
                <w:u w:val="single"/>
              </w:rPr>
              <w:t>（自动显示，不需企业填写）</w:t>
            </w:r>
            <w:r>
              <w:rPr>
                <w:rFonts w:ascii="宋体" w:hAnsi="宋体" w:cs="宋体"/>
                <w:b/>
                <w:bCs/>
                <w:color w:val="000000"/>
                <w:kern w:val="0"/>
                <w:sz w:val="18"/>
                <w:szCs w:val="18"/>
                <w:u w:val="single"/>
              </w:rPr>
              <w:t xml:space="preserve">      </w:t>
            </w:r>
            <w:r>
              <w:rPr>
                <w:rFonts w:hint="eastAsia" w:ascii="宋体" w:hAnsi="宋体" w:cs="宋体"/>
                <w:b/>
                <w:bCs/>
                <w:color w:val="000000"/>
                <w:kern w:val="0"/>
                <w:sz w:val="18"/>
                <w:szCs w:val="18"/>
              </w:rPr>
              <w:t>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信用等级证书有效期：</w:t>
            </w:r>
            <w:r>
              <w:rPr>
                <w:b/>
                <w:bCs/>
                <w:color w:val="000000"/>
                <w:kern w:val="0"/>
                <w:sz w:val="18"/>
                <w:szCs w:val="18"/>
              </w:rPr>
              <w:t>2017</w:t>
            </w:r>
            <w:r>
              <w:rPr>
                <w:rFonts w:hint="eastAsia" w:hAnsi="宋体"/>
                <w:b/>
                <w:bCs/>
                <w:color w:val="000000"/>
                <w:kern w:val="0"/>
                <w:sz w:val="18"/>
                <w:szCs w:val="18"/>
              </w:rPr>
              <w:t>年</w:t>
            </w:r>
            <w:r>
              <w:rPr>
                <w:b/>
                <w:bCs/>
                <w:color w:val="000000"/>
                <w:kern w:val="0"/>
                <w:sz w:val="18"/>
                <w:szCs w:val="18"/>
              </w:rPr>
              <w:t>1</w:t>
            </w:r>
            <w:r>
              <w:rPr>
                <w:rFonts w:hint="eastAsia" w:hAnsi="宋体"/>
                <w:b/>
                <w:bCs/>
                <w:color w:val="000000"/>
                <w:kern w:val="0"/>
                <w:sz w:val="18"/>
                <w:szCs w:val="18"/>
              </w:rPr>
              <w:t>月</w:t>
            </w:r>
            <w:r>
              <w:rPr>
                <w:b/>
                <w:bCs/>
                <w:color w:val="000000"/>
                <w:kern w:val="0"/>
                <w:sz w:val="18"/>
                <w:szCs w:val="18"/>
              </w:rPr>
              <w:t>1</w:t>
            </w:r>
            <w:r>
              <w:rPr>
                <w:rFonts w:hint="eastAsia" w:hAnsi="宋体"/>
                <w:b/>
                <w:bCs/>
                <w:color w:val="000000"/>
                <w:kern w:val="0"/>
                <w:sz w:val="18"/>
                <w:szCs w:val="18"/>
              </w:rPr>
              <w:t>日</w:t>
            </w:r>
            <w:r>
              <w:rPr>
                <w:b/>
                <w:bCs/>
                <w:color w:val="000000"/>
                <w:kern w:val="0"/>
                <w:sz w:val="18"/>
                <w:szCs w:val="18"/>
              </w:rPr>
              <w:t>—2020</w:t>
            </w:r>
            <w:r>
              <w:rPr>
                <w:rFonts w:hint="eastAsia" w:hAnsi="宋体"/>
                <w:b/>
                <w:bCs/>
                <w:color w:val="000000"/>
                <w:kern w:val="0"/>
                <w:sz w:val="18"/>
                <w:szCs w:val="18"/>
              </w:rPr>
              <w:t>年</w:t>
            </w:r>
            <w:r>
              <w:rPr>
                <w:b/>
                <w:bCs/>
                <w:color w:val="000000"/>
                <w:kern w:val="0"/>
                <w:sz w:val="18"/>
                <w:szCs w:val="18"/>
              </w:rPr>
              <w:t>12</w:t>
            </w:r>
            <w:r>
              <w:rPr>
                <w:rFonts w:hint="eastAsia" w:hAnsi="宋体"/>
                <w:b/>
                <w:bCs/>
                <w:color w:val="000000"/>
                <w:kern w:val="0"/>
                <w:sz w:val="18"/>
                <w:szCs w:val="18"/>
              </w:rPr>
              <w:t>月</w:t>
            </w:r>
            <w:r>
              <w:rPr>
                <w:b/>
                <w:bCs/>
                <w:color w:val="000000"/>
                <w:kern w:val="0"/>
                <w:sz w:val="18"/>
                <w:szCs w:val="18"/>
              </w:rPr>
              <w:t>31</w:t>
            </w:r>
            <w:r>
              <w:rPr>
                <w:rFonts w:hint="eastAsia" w:ascii="宋体" w:hAnsi="宋体" w:cs="宋体"/>
                <w:b/>
                <w:bCs/>
                <w:color w:val="000000"/>
                <w:kern w:val="0"/>
                <w:sz w:val="18"/>
                <w:szCs w:val="18"/>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vMerge w:val="restart"/>
            <w:noWrap/>
            <w:vAlign w:val="center"/>
          </w:tcPr>
          <w:p>
            <w:pPr>
              <w:widowControl/>
              <w:ind w:left="-63" w:leftChars="-30" w:right="-63" w:rightChars="-30"/>
              <w:jc w:val="center"/>
              <w:rPr>
                <w:color w:val="000000"/>
                <w:kern w:val="0"/>
                <w:sz w:val="18"/>
                <w:szCs w:val="18"/>
              </w:rPr>
            </w:pPr>
            <w:r>
              <w:rPr>
                <w:color w:val="000000"/>
                <w:kern w:val="0"/>
                <w:sz w:val="18"/>
                <w:szCs w:val="18"/>
              </w:rPr>
              <w:t>10</w:t>
            </w:r>
          </w:p>
        </w:tc>
        <w:tc>
          <w:tcPr>
            <w:tcW w:w="3316" w:type="dxa"/>
            <w:vMerge w:val="restart"/>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经工商登记的分公司基本信息</w:t>
            </w:r>
          </w:p>
        </w:tc>
        <w:tc>
          <w:tcPr>
            <w:tcW w:w="1220" w:type="dxa"/>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序号</w:t>
            </w:r>
          </w:p>
        </w:tc>
        <w:tc>
          <w:tcPr>
            <w:tcW w:w="1620" w:type="dxa"/>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分公司</w:t>
            </w:r>
          </w:p>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登记地</w:t>
            </w:r>
          </w:p>
        </w:tc>
        <w:tc>
          <w:tcPr>
            <w:tcW w:w="1560" w:type="dxa"/>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分公司</w:t>
            </w:r>
          </w:p>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登记时间</w:t>
            </w:r>
          </w:p>
        </w:tc>
        <w:tc>
          <w:tcPr>
            <w:tcW w:w="6132" w:type="dxa"/>
            <w:gridSpan w:val="3"/>
            <w:noWrap/>
            <w:vAlign w:val="center"/>
          </w:tcPr>
          <w:p>
            <w:pPr>
              <w:widowControl/>
              <w:ind w:left="-63" w:leftChars="-30" w:right="-63" w:rightChars="-30"/>
              <w:jc w:val="center"/>
              <w:rPr>
                <w:rFonts w:ascii="宋体" w:cs="宋体"/>
                <w:b/>
                <w:bCs/>
                <w:color w:val="000000"/>
                <w:kern w:val="0"/>
                <w:sz w:val="18"/>
                <w:szCs w:val="18"/>
              </w:rPr>
            </w:pPr>
            <w:r>
              <w:rPr>
                <w:rFonts w:hint="eastAsia" w:ascii="宋体" w:hAnsi="宋体" w:cs="宋体"/>
                <w:b/>
                <w:bCs/>
                <w:color w:val="000000"/>
                <w:kern w:val="0"/>
                <w:sz w:val="18"/>
                <w:szCs w:val="18"/>
              </w:rPr>
              <w:t>分公司名称（全称）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vMerge w:val="continue"/>
            <w:vAlign w:val="center"/>
          </w:tcPr>
          <w:p>
            <w:pPr>
              <w:widowControl/>
              <w:ind w:left="-63" w:leftChars="-30" w:right="-63" w:rightChars="-30"/>
              <w:jc w:val="left"/>
              <w:rPr>
                <w:color w:val="000000"/>
                <w:kern w:val="0"/>
                <w:sz w:val="18"/>
                <w:szCs w:val="18"/>
              </w:rPr>
            </w:pPr>
          </w:p>
        </w:tc>
        <w:tc>
          <w:tcPr>
            <w:tcW w:w="3316" w:type="dxa"/>
            <w:vMerge w:val="continue"/>
            <w:vAlign w:val="center"/>
          </w:tcPr>
          <w:p>
            <w:pPr>
              <w:widowControl/>
              <w:ind w:left="-63" w:leftChars="-30" w:right="-63" w:rightChars="-30"/>
              <w:jc w:val="left"/>
              <w:rPr>
                <w:rFonts w:ascii="宋体" w:cs="宋体"/>
                <w:b/>
                <w:bCs/>
                <w:color w:val="000000"/>
                <w:kern w:val="0"/>
                <w:sz w:val="18"/>
                <w:szCs w:val="18"/>
              </w:rPr>
            </w:pPr>
          </w:p>
        </w:tc>
        <w:tc>
          <w:tcPr>
            <w:tcW w:w="1220" w:type="dxa"/>
            <w:vAlign w:val="center"/>
          </w:tcPr>
          <w:p>
            <w:pPr>
              <w:widowControl/>
              <w:ind w:left="-63" w:leftChars="-30" w:right="-63" w:rightChars="-30"/>
              <w:jc w:val="center"/>
              <w:rPr>
                <w:color w:val="000000"/>
                <w:kern w:val="0"/>
                <w:sz w:val="18"/>
                <w:szCs w:val="18"/>
              </w:rPr>
            </w:pPr>
            <w:r>
              <w:rPr>
                <w:color w:val="000000"/>
                <w:kern w:val="0"/>
                <w:sz w:val="18"/>
                <w:szCs w:val="18"/>
              </w:rPr>
              <w:t>1</w:t>
            </w:r>
          </w:p>
        </w:tc>
        <w:tc>
          <w:tcPr>
            <w:tcW w:w="1620" w:type="dxa"/>
            <w:vAlign w:val="center"/>
          </w:tcPr>
          <w:p>
            <w:pPr>
              <w:widowControl/>
              <w:ind w:left="-63" w:leftChars="-30" w:right="-63" w:rightChars="-30"/>
              <w:jc w:val="left"/>
              <w:rPr>
                <w:rFonts w:ascii="宋体" w:cs="宋体"/>
                <w:color w:val="000000"/>
                <w:kern w:val="0"/>
                <w:sz w:val="18"/>
                <w:szCs w:val="18"/>
              </w:rPr>
            </w:pPr>
            <w:r>
              <w:rPr>
                <w:rFonts w:hint="eastAsia" w:ascii="宋体" w:hAnsi="宋体" w:cs="宋体"/>
                <w:color w:val="000000"/>
                <w:kern w:val="0"/>
                <w:sz w:val="18"/>
                <w:szCs w:val="18"/>
              </w:rPr>
              <w:t>（由企业填写）</w:t>
            </w:r>
          </w:p>
        </w:tc>
        <w:tc>
          <w:tcPr>
            <w:tcW w:w="1560" w:type="dxa"/>
            <w:vAlign w:val="center"/>
          </w:tcPr>
          <w:p>
            <w:pPr>
              <w:widowControl/>
              <w:ind w:left="-63" w:leftChars="-30" w:right="-63" w:rightChars="-30"/>
              <w:jc w:val="left"/>
              <w:rPr>
                <w:rFonts w:ascii="宋体" w:cs="宋体"/>
                <w:color w:val="000000"/>
                <w:kern w:val="0"/>
                <w:sz w:val="18"/>
                <w:szCs w:val="18"/>
              </w:rPr>
            </w:pPr>
            <w:r>
              <w:rPr>
                <w:rFonts w:hint="eastAsia" w:ascii="宋体" w:hAnsi="宋体" w:cs="宋体"/>
                <w:color w:val="000000"/>
                <w:kern w:val="0"/>
                <w:sz w:val="18"/>
                <w:szCs w:val="18"/>
              </w:rPr>
              <w:t>（由企业填写）</w:t>
            </w:r>
          </w:p>
        </w:tc>
        <w:tc>
          <w:tcPr>
            <w:tcW w:w="6132" w:type="dxa"/>
            <w:gridSpan w:val="3"/>
            <w:vAlign w:val="center"/>
          </w:tcPr>
          <w:p>
            <w:pPr>
              <w:widowControl/>
              <w:ind w:left="-63" w:leftChars="-30" w:right="-63" w:rightChars="-30"/>
              <w:jc w:val="center"/>
              <w:rPr>
                <w:rFonts w:ascii="宋体" w:cs="宋体"/>
                <w:color w:val="000000"/>
                <w:kern w:val="0"/>
                <w:sz w:val="18"/>
                <w:szCs w:val="18"/>
              </w:rPr>
            </w:pPr>
            <w:r>
              <w:rPr>
                <w:rFonts w:hint="eastAsia" w:ascii="宋体" w:hAnsi="宋体" w:cs="宋体"/>
                <w:color w:val="000000"/>
                <w:kern w:val="0"/>
                <w:sz w:val="18"/>
                <w:szCs w:val="18"/>
              </w:rPr>
              <w:t>（由企业填写）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vMerge w:val="continue"/>
            <w:vAlign w:val="center"/>
          </w:tcPr>
          <w:p>
            <w:pPr>
              <w:widowControl/>
              <w:ind w:left="-63" w:leftChars="-30" w:right="-63" w:rightChars="-30"/>
              <w:jc w:val="left"/>
              <w:rPr>
                <w:color w:val="000000"/>
                <w:kern w:val="0"/>
                <w:sz w:val="18"/>
                <w:szCs w:val="18"/>
              </w:rPr>
            </w:pPr>
          </w:p>
        </w:tc>
        <w:tc>
          <w:tcPr>
            <w:tcW w:w="3316" w:type="dxa"/>
            <w:vMerge w:val="continue"/>
            <w:vAlign w:val="center"/>
          </w:tcPr>
          <w:p>
            <w:pPr>
              <w:widowControl/>
              <w:ind w:left="-63" w:leftChars="-30" w:right="-63" w:rightChars="-30"/>
              <w:jc w:val="left"/>
              <w:rPr>
                <w:rFonts w:ascii="宋体" w:cs="宋体"/>
                <w:b/>
                <w:bCs/>
                <w:color w:val="000000"/>
                <w:kern w:val="0"/>
                <w:sz w:val="18"/>
                <w:szCs w:val="18"/>
              </w:rPr>
            </w:pPr>
          </w:p>
        </w:tc>
        <w:tc>
          <w:tcPr>
            <w:tcW w:w="1220" w:type="dxa"/>
            <w:noWrap/>
            <w:vAlign w:val="center"/>
          </w:tcPr>
          <w:p>
            <w:pPr>
              <w:widowControl/>
              <w:ind w:left="-63" w:leftChars="-30" w:right="-63" w:rightChars="-30"/>
              <w:jc w:val="center"/>
              <w:rPr>
                <w:color w:val="000000"/>
                <w:kern w:val="0"/>
                <w:sz w:val="18"/>
                <w:szCs w:val="18"/>
              </w:rPr>
            </w:pPr>
            <w:r>
              <w:rPr>
                <w:color w:val="000000"/>
                <w:kern w:val="0"/>
                <w:sz w:val="18"/>
                <w:szCs w:val="18"/>
              </w:rPr>
              <w:t>2</w:t>
            </w:r>
          </w:p>
        </w:tc>
        <w:tc>
          <w:tcPr>
            <w:tcW w:w="1620" w:type="dxa"/>
            <w:noWrap/>
            <w:vAlign w:val="center"/>
          </w:tcPr>
          <w:p>
            <w:pPr>
              <w:widowControl/>
              <w:ind w:left="-63" w:leftChars="-30" w:right="-63" w:rightChars="-30"/>
              <w:jc w:val="center"/>
              <w:rPr>
                <w:rFonts w:ascii="宋体" w:cs="宋体"/>
                <w:color w:val="000000"/>
                <w:kern w:val="0"/>
                <w:sz w:val="18"/>
                <w:szCs w:val="18"/>
              </w:rPr>
            </w:pPr>
          </w:p>
        </w:tc>
        <w:tc>
          <w:tcPr>
            <w:tcW w:w="1560" w:type="dxa"/>
            <w:noWrap/>
            <w:vAlign w:val="center"/>
          </w:tcPr>
          <w:p>
            <w:pPr>
              <w:widowControl/>
              <w:ind w:left="-63" w:leftChars="-30" w:right="-63" w:rightChars="-30"/>
              <w:jc w:val="center"/>
              <w:rPr>
                <w:rFonts w:ascii="宋体" w:cs="宋体"/>
                <w:color w:val="000000"/>
                <w:kern w:val="0"/>
                <w:sz w:val="18"/>
                <w:szCs w:val="18"/>
              </w:rPr>
            </w:pPr>
          </w:p>
        </w:tc>
        <w:tc>
          <w:tcPr>
            <w:tcW w:w="6132" w:type="dxa"/>
            <w:gridSpan w:val="3"/>
            <w:noWrap/>
            <w:vAlign w:val="center"/>
          </w:tcPr>
          <w:p>
            <w:pPr>
              <w:widowControl/>
              <w:ind w:left="-63" w:leftChars="-30" w:right="-63" w:rightChars="-30"/>
              <w:jc w:val="center"/>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vMerge w:val="continue"/>
            <w:vAlign w:val="center"/>
          </w:tcPr>
          <w:p>
            <w:pPr>
              <w:widowControl/>
              <w:ind w:left="-63" w:leftChars="-30" w:right="-63" w:rightChars="-30"/>
              <w:jc w:val="left"/>
              <w:rPr>
                <w:color w:val="000000"/>
                <w:kern w:val="0"/>
                <w:sz w:val="18"/>
                <w:szCs w:val="18"/>
              </w:rPr>
            </w:pPr>
          </w:p>
        </w:tc>
        <w:tc>
          <w:tcPr>
            <w:tcW w:w="3316" w:type="dxa"/>
            <w:vMerge w:val="continue"/>
            <w:vAlign w:val="center"/>
          </w:tcPr>
          <w:p>
            <w:pPr>
              <w:widowControl/>
              <w:ind w:left="-63" w:leftChars="-30" w:right="-63" w:rightChars="-30"/>
              <w:jc w:val="left"/>
              <w:rPr>
                <w:rFonts w:ascii="宋体" w:cs="宋体"/>
                <w:b/>
                <w:bCs/>
                <w:color w:val="000000"/>
                <w:kern w:val="0"/>
                <w:sz w:val="18"/>
                <w:szCs w:val="18"/>
              </w:rPr>
            </w:pPr>
          </w:p>
        </w:tc>
        <w:tc>
          <w:tcPr>
            <w:tcW w:w="1220" w:type="dxa"/>
            <w:noWrap/>
            <w:vAlign w:val="center"/>
          </w:tcPr>
          <w:p>
            <w:pPr>
              <w:widowControl/>
              <w:ind w:left="-63" w:leftChars="-30" w:right="-63" w:rightChars="-30"/>
              <w:jc w:val="center"/>
              <w:rPr>
                <w:color w:val="000000"/>
                <w:kern w:val="0"/>
                <w:sz w:val="18"/>
                <w:szCs w:val="18"/>
              </w:rPr>
            </w:pPr>
            <w:r>
              <w:rPr>
                <w:color w:val="000000"/>
                <w:kern w:val="0"/>
                <w:sz w:val="18"/>
                <w:szCs w:val="18"/>
              </w:rPr>
              <w:t>3</w:t>
            </w:r>
          </w:p>
        </w:tc>
        <w:tc>
          <w:tcPr>
            <w:tcW w:w="1620" w:type="dxa"/>
            <w:noWrap/>
            <w:vAlign w:val="center"/>
          </w:tcPr>
          <w:p>
            <w:pPr>
              <w:widowControl/>
              <w:ind w:left="-63" w:leftChars="-30" w:right="-63" w:rightChars="-30"/>
              <w:jc w:val="center"/>
              <w:rPr>
                <w:rFonts w:ascii="宋体" w:cs="宋体"/>
                <w:color w:val="000000"/>
                <w:kern w:val="0"/>
                <w:sz w:val="18"/>
                <w:szCs w:val="18"/>
              </w:rPr>
            </w:pPr>
          </w:p>
        </w:tc>
        <w:tc>
          <w:tcPr>
            <w:tcW w:w="1560" w:type="dxa"/>
            <w:noWrap/>
            <w:vAlign w:val="center"/>
          </w:tcPr>
          <w:p>
            <w:pPr>
              <w:widowControl/>
              <w:ind w:left="-63" w:leftChars="-30" w:right="-63" w:rightChars="-30"/>
              <w:jc w:val="center"/>
              <w:rPr>
                <w:rFonts w:ascii="宋体" w:cs="宋体"/>
                <w:color w:val="000000"/>
                <w:kern w:val="0"/>
                <w:sz w:val="18"/>
                <w:szCs w:val="18"/>
              </w:rPr>
            </w:pPr>
          </w:p>
        </w:tc>
        <w:tc>
          <w:tcPr>
            <w:tcW w:w="6132" w:type="dxa"/>
            <w:gridSpan w:val="3"/>
            <w:noWrap/>
            <w:vAlign w:val="center"/>
          </w:tcPr>
          <w:p>
            <w:pPr>
              <w:widowControl/>
              <w:ind w:left="-63" w:leftChars="-30" w:right="-63" w:rightChars="-30"/>
              <w:jc w:val="center"/>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vMerge w:val="continue"/>
            <w:vAlign w:val="center"/>
          </w:tcPr>
          <w:p>
            <w:pPr>
              <w:widowControl/>
              <w:ind w:left="-63" w:leftChars="-30" w:right="-63" w:rightChars="-30"/>
              <w:jc w:val="left"/>
              <w:rPr>
                <w:color w:val="000000"/>
                <w:kern w:val="0"/>
                <w:sz w:val="18"/>
                <w:szCs w:val="18"/>
              </w:rPr>
            </w:pPr>
          </w:p>
        </w:tc>
        <w:tc>
          <w:tcPr>
            <w:tcW w:w="3316" w:type="dxa"/>
            <w:vMerge w:val="continue"/>
            <w:vAlign w:val="center"/>
          </w:tcPr>
          <w:p>
            <w:pPr>
              <w:widowControl/>
              <w:ind w:left="-63" w:leftChars="-30" w:right="-63" w:rightChars="-30"/>
              <w:jc w:val="left"/>
              <w:rPr>
                <w:rFonts w:ascii="宋体" w:cs="宋体"/>
                <w:b/>
                <w:bCs/>
                <w:color w:val="000000"/>
                <w:kern w:val="0"/>
                <w:sz w:val="18"/>
                <w:szCs w:val="18"/>
              </w:rPr>
            </w:pPr>
          </w:p>
        </w:tc>
        <w:tc>
          <w:tcPr>
            <w:tcW w:w="1220" w:type="dxa"/>
            <w:noWrap/>
            <w:vAlign w:val="center"/>
          </w:tcPr>
          <w:p>
            <w:pPr>
              <w:widowControl/>
              <w:ind w:left="-63" w:leftChars="-30" w:right="-63" w:rightChars="-30"/>
              <w:jc w:val="center"/>
              <w:rPr>
                <w:color w:val="000000"/>
                <w:kern w:val="0"/>
                <w:sz w:val="18"/>
                <w:szCs w:val="18"/>
              </w:rPr>
            </w:pPr>
            <w:r>
              <w:rPr>
                <w:color w:val="000000"/>
                <w:kern w:val="0"/>
                <w:sz w:val="18"/>
                <w:szCs w:val="18"/>
              </w:rPr>
              <w:t>4</w:t>
            </w:r>
          </w:p>
        </w:tc>
        <w:tc>
          <w:tcPr>
            <w:tcW w:w="1620" w:type="dxa"/>
            <w:noWrap/>
            <w:vAlign w:val="center"/>
          </w:tcPr>
          <w:p>
            <w:pPr>
              <w:widowControl/>
              <w:ind w:left="-63" w:leftChars="-30" w:right="-63" w:rightChars="-30"/>
              <w:jc w:val="center"/>
              <w:rPr>
                <w:rFonts w:ascii="宋体" w:cs="宋体"/>
                <w:color w:val="000000"/>
                <w:kern w:val="0"/>
                <w:sz w:val="18"/>
                <w:szCs w:val="18"/>
              </w:rPr>
            </w:pPr>
          </w:p>
        </w:tc>
        <w:tc>
          <w:tcPr>
            <w:tcW w:w="1560" w:type="dxa"/>
            <w:noWrap/>
            <w:vAlign w:val="center"/>
          </w:tcPr>
          <w:p>
            <w:pPr>
              <w:widowControl/>
              <w:ind w:left="-63" w:leftChars="-30" w:right="-63" w:rightChars="-30"/>
              <w:jc w:val="center"/>
              <w:rPr>
                <w:rFonts w:ascii="宋体" w:cs="宋体"/>
                <w:color w:val="000000"/>
                <w:kern w:val="0"/>
                <w:sz w:val="18"/>
                <w:szCs w:val="18"/>
              </w:rPr>
            </w:pPr>
          </w:p>
        </w:tc>
        <w:tc>
          <w:tcPr>
            <w:tcW w:w="6132" w:type="dxa"/>
            <w:gridSpan w:val="3"/>
            <w:noWrap/>
            <w:vAlign w:val="center"/>
          </w:tcPr>
          <w:p>
            <w:pPr>
              <w:widowControl/>
              <w:ind w:left="-63" w:leftChars="-30" w:right="-63" w:rightChars="-30"/>
              <w:jc w:val="center"/>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vMerge w:val="continue"/>
            <w:vAlign w:val="center"/>
          </w:tcPr>
          <w:p>
            <w:pPr>
              <w:widowControl/>
              <w:ind w:left="-63" w:leftChars="-30" w:right="-63" w:rightChars="-30"/>
              <w:jc w:val="left"/>
              <w:rPr>
                <w:color w:val="000000"/>
                <w:kern w:val="0"/>
                <w:sz w:val="18"/>
                <w:szCs w:val="18"/>
              </w:rPr>
            </w:pPr>
          </w:p>
        </w:tc>
        <w:tc>
          <w:tcPr>
            <w:tcW w:w="3316" w:type="dxa"/>
            <w:vMerge w:val="continue"/>
            <w:vAlign w:val="center"/>
          </w:tcPr>
          <w:p>
            <w:pPr>
              <w:widowControl/>
              <w:ind w:left="-63" w:leftChars="-30" w:right="-63" w:rightChars="-30"/>
              <w:jc w:val="left"/>
              <w:rPr>
                <w:rFonts w:ascii="宋体" w:cs="宋体"/>
                <w:b/>
                <w:bCs/>
                <w:color w:val="000000"/>
                <w:kern w:val="0"/>
                <w:sz w:val="18"/>
                <w:szCs w:val="18"/>
              </w:rPr>
            </w:pPr>
          </w:p>
        </w:tc>
        <w:tc>
          <w:tcPr>
            <w:tcW w:w="1220" w:type="dxa"/>
            <w:noWrap/>
            <w:vAlign w:val="center"/>
          </w:tcPr>
          <w:p>
            <w:pPr>
              <w:widowControl/>
              <w:ind w:left="-63" w:leftChars="-30" w:right="-63" w:rightChars="-30"/>
              <w:jc w:val="center"/>
              <w:rPr>
                <w:color w:val="000000"/>
                <w:kern w:val="0"/>
                <w:sz w:val="18"/>
                <w:szCs w:val="18"/>
              </w:rPr>
            </w:pPr>
            <w:r>
              <w:rPr>
                <w:color w:val="000000"/>
                <w:kern w:val="0"/>
                <w:sz w:val="18"/>
                <w:szCs w:val="18"/>
              </w:rPr>
              <w:t>5</w:t>
            </w:r>
          </w:p>
        </w:tc>
        <w:tc>
          <w:tcPr>
            <w:tcW w:w="1620" w:type="dxa"/>
            <w:noWrap/>
            <w:vAlign w:val="center"/>
          </w:tcPr>
          <w:p>
            <w:pPr>
              <w:widowControl/>
              <w:ind w:left="-63" w:leftChars="-30" w:right="-63" w:rightChars="-30"/>
              <w:jc w:val="center"/>
              <w:rPr>
                <w:rFonts w:ascii="宋体" w:cs="宋体"/>
                <w:color w:val="000000"/>
                <w:kern w:val="0"/>
                <w:sz w:val="18"/>
                <w:szCs w:val="18"/>
              </w:rPr>
            </w:pPr>
          </w:p>
        </w:tc>
        <w:tc>
          <w:tcPr>
            <w:tcW w:w="1560" w:type="dxa"/>
            <w:noWrap/>
            <w:vAlign w:val="center"/>
          </w:tcPr>
          <w:p>
            <w:pPr>
              <w:widowControl/>
              <w:ind w:left="-63" w:leftChars="-30" w:right="-63" w:rightChars="-30"/>
              <w:jc w:val="center"/>
              <w:rPr>
                <w:rFonts w:ascii="宋体" w:cs="宋体"/>
                <w:color w:val="000000"/>
                <w:kern w:val="0"/>
                <w:sz w:val="18"/>
                <w:szCs w:val="18"/>
              </w:rPr>
            </w:pPr>
          </w:p>
        </w:tc>
        <w:tc>
          <w:tcPr>
            <w:tcW w:w="6132" w:type="dxa"/>
            <w:gridSpan w:val="3"/>
            <w:noWrap/>
            <w:vAlign w:val="center"/>
          </w:tcPr>
          <w:p>
            <w:pPr>
              <w:widowControl/>
              <w:ind w:left="-63" w:leftChars="-30" w:right="-63" w:rightChars="-30"/>
              <w:jc w:val="center"/>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vMerge w:val="continue"/>
            <w:vAlign w:val="center"/>
          </w:tcPr>
          <w:p>
            <w:pPr>
              <w:widowControl/>
              <w:ind w:left="-63" w:leftChars="-30" w:right="-63" w:rightChars="-30"/>
              <w:jc w:val="left"/>
              <w:rPr>
                <w:color w:val="000000"/>
                <w:kern w:val="0"/>
                <w:sz w:val="18"/>
                <w:szCs w:val="18"/>
              </w:rPr>
            </w:pPr>
          </w:p>
        </w:tc>
        <w:tc>
          <w:tcPr>
            <w:tcW w:w="3316" w:type="dxa"/>
            <w:vMerge w:val="continue"/>
            <w:vAlign w:val="center"/>
          </w:tcPr>
          <w:p>
            <w:pPr>
              <w:widowControl/>
              <w:ind w:left="-63" w:leftChars="-30" w:right="-63" w:rightChars="-30"/>
              <w:jc w:val="left"/>
              <w:rPr>
                <w:rFonts w:ascii="宋体" w:cs="宋体"/>
                <w:b/>
                <w:bCs/>
                <w:color w:val="000000"/>
                <w:kern w:val="0"/>
                <w:sz w:val="18"/>
                <w:szCs w:val="18"/>
              </w:rPr>
            </w:pPr>
          </w:p>
        </w:tc>
        <w:tc>
          <w:tcPr>
            <w:tcW w:w="1220" w:type="dxa"/>
            <w:noWrap/>
            <w:vAlign w:val="center"/>
          </w:tcPr>
          <w:p>
            <w:pPr>
              <w:widowControl/>
              <w:ind w:left="-63" w:leftChars="-30" w:right="-63" w:rightChars="-30"/>
              <w:jc w:val="center"/>
              <w:rPr>
                <w:rFonts w:ascii="宋体" w:cs="宋体"/>
                <w:color w:val="000000"/>
                <w:kern w:val="0"/>
                <w:sz w:val="18"/>
                <w:szCs w:val="18"/>
              </w:rPr>
            </w:pPr>
            <w:r>
              <w:rPr>
                <w:rFonts w:hint="eastAsia" w:ascii="宋体" w:cs="宋体"/>
                <w:color w:val="000000"/>
                <w:kern w:val="0"/>
                <w:sz w:val="18"/>
                <w:szCs w:val="18"/>
              </w:rPr>
              <w:t>……</w:t>
            </w:r>
          </w:p>
        </w:tc>
        <w:tc>
          <w:tcPr>
            <w:tcW w:w="1620" w:type="dxa"/>
            <w:noWrap/>
            <w:vAlign w:val="center"/>
          </w:tcPr>
          <w:p>
            <w:pPr>
              <w:widowControl/>
              <w:ind w:left="-63" w:leftChars="-30" w:right="-63" w:rightChars="-30"/>
              <w:jc w:val="center"/>
              <w:rPr>
                <w:rFonts w:ascii="宋体" w:cs="宋体"/>
                <w:color w:val="000000"/>
                <w:kern w:val="0"/>
                <w:sz w:val="18"/>
                <w:szCs w:val="18"/>
              </w:rPr>
            </w:pPr>
          </w:p>
        </w:tc>
        <w:tc>
          <w:tcPr>
            <w:tcW w:w="1560" w:type="dxa"/>
            <w:noWrap/>
            <w:vAlign w:val="center"/>
          </w:tcPr>
          <w:p>
            <w:pPr>
              <w:widowControl/>
              <w:ind w:left="-63" w:leftChars="-30" w:right="-63" w:rightChars="-30"/>
              <w:jc w:val="center"/>
              <w:rPr>
                <w:rFonts w:ascii="宋体" w:cs="宋体"/>
                <w:color w:val="000000"/>
                <w:kern w:val="0"/>
                <w:sz w:val="18"/>
                <w:szCs w:val="18"/>
              </w:rPr>
            </w:pPr>
          </w:p>
        </w:tc>
        <w:tc>
          <w:tcPr>
            <w:tcW w:w="6132" w:type="dxa"/>
            <w:gridSpan w:val="3"/>
            <w:noWrap/>
            <w:vAlign w:val="center"/>
          </w:tcPr>
          <w:p>
            <w:pPr>
              <w:widowControl/>
              <w:ind w:left="-63" w:leftChars="-30" w:right="-63" w:rightChars="-30"/>
              <w:jc w:val="center"/>
              <w:rPr>
                <w:rFonts w:ascii="宋体"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4" w:type="dxa"/>
            <w:vMerge w:val="continue"/>
            <w:tcBorders>
              <w:bottom w:val="single" w:color="auto" w:sz="8" w:space="0"/>
            </w:tcBorders>
            <w:vAlign w:val="center"/>
          </w:tcPr>
          <w:p>
            <w:pPr>
              <w:widowControl/>
              <w:ind w:left="-63" w:leftChars="-30" w:right="-63" w:rightChars="-30"/>
              <w:jc w:val="left"/>
              <w:rPr>
                <w:color w:val="000000"/>
                <w:kern w:val="0"/>
                <w:sz w:val="18"/>
                <w:szCs w:val="18"/>
              </w:rPr>
            </w:pPr>
          </w:p>
        </w:tc>
        <w:tc>
          <w:tcPr>
            <w:tcW w:w="3316" w:type="dxa"/>
            <w:vMerge w:val="continue"/>
            <w:tcBorders>
              <w:bottom w:val="single" w:color="auto" w:sz="8" w:space="0"/>
            </w:tcBorders>
            <w:vAlign w:val="center"/>
          </w:tcPr>
          <w:p>
            <w:pPr>
              <w:widowControl/>
              <w:ind w:left="-63" w:leftChars="-30" w:right="-63" w:rightChars="-30"/>
              <w:jc w:val="left"/>
              <w:rPr>
                <w:rFonts w:ascii="宋体" w:cs="宋体"/>
                <w:b/>
                <w:bCs/>
                <w:color w:val="000000"/>
                <w:kern w:val="0"/>
                <w:sz w:val="18"/>
                <w:szCs w:val="18"/>
              </w:rPr>
            </w:pPr>
          </w:p>
        </w:tc>
        <w:tc>
          <w:tcPr>
            <w:tcW w:w="1220" w:type="dxa"/>
            <w:tcBorders>
              <w:bottom w:val="single" w:color="auto" w:sz="8" w:space="0"/>
            </w:tcBorders>
            <w:noWrap/>
            <w:vAlign w:val="center"/>
          </w:tcPr>
          <w:p>
            <w:pPr>
              <w:widowControl/>
              <w:ind w:left="-63" w:leftChars="-30" w:right="-63" w:rightChars="-30"/>
              <w:jc w:val="center"/>
              <w:rPr>
                <w:rFonts w:ascii="宋体" w:cs="宋体"/>
                <w:color w:val="000000"/>
                <w:kern w:val="0"/>
                <w:sz w:val="18"/>
                <w:szCs w:val="18"/>
              </w:rPr>
            </w:pPr>
            <w:r>
              <w:rPr>
                <w:rFonts w:hint="eastAsia" w:ascii="宋体" w:cs="宋体"/>
                <w:color w:val="000000"/>
                <w:kern w:val="0"/>
                <w:sz w:val="18"/>
                <w:szCs w:val="18"/>
              </w:rPr>
              <w:t>……</w:t>
            </w:r>
          </w:p>
        </w:tc>
        <w:tc>
          <w:tcPr>
            <w:tcW w:w="1620" w:type="dxa"/>
            <w:tcBorders>
              <w:bottom w:val="single" w:color="auto" w:sz="8" w:space="0"/>
            </w:tcBorders>
            <w:noWrap/>
            <w:vAlign w:val="center"/>
          </w:tcPr>
          <w:p>
            <w:pPr>
              <w:widowControl/>
              <w:ind w:left="-63" w:leftChars="-30" w:right="-63" w:rightChars="-30"/>
              <w:jc w:val="center"/>
              <w:rPr>
                <w:rFonts w:ascii="宋体" w:cs="宋体"/>
                <w:color w:val="000000"/>
                <w:kern w:val="0"/>
                <w:sz w:val="18"/>
                <w:szCs w:val="18"/>
              </w:rPr>
            </w:pPr>
          </w:p>
        </w:tc>
        <w:tc>
          <w:tcPr>
            <w:tcW w:w="1560" w:type="dxa"/>
            <w:tcBorders>
              <w:bottom w:val="single" w:color="auto" w:sz="8" w:space="0"/>
            </w:tcBorders>
            <w:noWrap/>
            <w:vAlign w:val="center"/>
          </w:tcPr>
          <w:p>
            <w:pPr>
              <w:widowControl/>
              <w:ind w:left="-63" w:leftChars="-30" w:right="-63" w:rightChars="-30"/>
              <w:jc w:val="center"/>
              <w:rPr>
                <w:rFonts w:ascii="宋体" w:cs="宋体"/>
                <w:color w:val="000000"/>
                <w:kern w:val="0"/>
                <w:sz w:val="18"/>
                <w:szCs w:val="18"/>
              </w:rPr>
            </w:pPr>
          </w:p>
        </w:tc>
        <w:tc>
          <w:tcPr>
            <w:tcW w:w="6132" w:type="dxa"/>
            <w:gridSpan w:val="3"/>
            <w:tcBorders>
              <w:bottom w:val="single" w:color="auto" w:sz="8" w:space="0"/>
            </w:tcBorders>
            <w:noWrap/>
            <w:vAlign w:val="center"/>
          </w:tcPr>
          <w:p>
            <w:pPr>
              <w:widowControl/>
              <w:ind w:left="-63" w:leftChars="-30" w:right="-63" w:rightChars="-30"/>
              <w:jc w:val="center"/>
              <w:rPr>
                <w:rFonts w:ascii="宋体" w:cs="宋体"/>
                <w:color w:val="000000"/>
                <w:kern w:val="0"/>
                <w:sz w:val="18"/>
                <w:szCs w:val="18"/>
              </w:rPr>
            </w:pPr>
          </w:p>
        </w:tc>
      </w:tr>
    </w:tbl>
    <w:p>
      <w:pPr>
        <w:rPr>
          <w:rFonts w:eastAsia="方正黑体_GBK"/>
          <w:color w:val="000000"/>
          <w:kern w:val="0"/>
          <w:sz w:val="32"/>
          <w:szCs w:val="32"/>
        </w:rPr>
      </w:pPr>
      <w:r>
        <w:rPr>
          <w:color w:val="000000"/>
        </w:rPr>
        <w:br w:type="column"/>
      </w:r>
      <w:r>
        <w:rPr>
          <w:rFonts w:hint="eastAsia" w:eastAsia="方正黑体_GBK"/>
          <w:color w:val="000000"/>
          <w:kern w:val="0"/>
          <w:sz w:val="32"/>
          <w:szCs w:val="32"/>
        </w:rPr>
        <w:t>附表</w:t>
      </w:r>
      <w:r>
        <w:rPr>
          <w:rFonts w:eastAsia="方正黑体_GBK"/>
          <w:color w:val="000000"/>
          <w:kern w:val="0"/>
          <w:sz w:val="32"/>
          <w:szCs w:val="32"/>
        </w:rPr>
        <w:t>2</w:t>
      </w:r>
    </w:p>
    <w:p>
      <w:pPr>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江苏省工程造价咨询企业信用评价标准及评分表（</w:t>
      </w:r>
      <w:r>
        <w:rPr>
          <w:rFonts w:ascii="方正小标宋_GBK" w:hAnsi="宋体" w:eastAsia="方正小标宋_GBK" w:cs="宋体"/>
          <w:color w:val="000000"/>
          <w:kern w:val="0"/>
          <w:sz w:val="36"/>
          <w:szCs w:val="36"/>
        </w:rPr>
        <w:t>2020</w:t>
      </w:r>
      <w:r>
        <w:rPr>
          <w:rFonts w:hint="eastAsia" w:ascii="方正小标宋_GBK" w:hAnsi="宋体" w:eastAsia="方正小标宋_GBK" w:cs="宋体"/>
          <w:color w:val="000000"/>
          <w:kern w:val="0"/>
          <w:sz w:val="36"/>
          <w:szCs w:val="36"/>
        </w:rPr>
        <w:t>年</w:t>
      </w:r>
      <w:r>
        <w:rPr>
          <w:rFonts w:ascii="方正小标宋_GBK" w:hAnsi="宋体" w:eastAsia="方正小标宋_GBK" w:cs="宋体"/>
          <w:color w:val="000000"/>
          <w:kern w:val="0"/>
          <w:sz w:val="36"/>
          <w:szCs w:val="36"/>
        </w:rPr>
        <w:t>8</w:t>
      </w:r>
      <w:r>
        <w:rPr>
          <w:rFonts w:hint="eastAsia" w:ascii="方正小标宋_GBK" w:hAnsi="宋体" w:eastAsia="方正小标宋_GBK" w:cs="宋体"/>
          <w:color w:val="000000"/>
          <w:kern w:val="0"/>
          <w:sz w:val="36"/>
          <w:szCs w:val="36"/>
        </w:rPr>
        <w:t>月第四次修订）</w:t>
      </w:r>
    </w:p>
    <w:p>
      <w:pPr>
        <w:rPr>
          <w:color w:val="000000"/>
        </w:rPr>
      </w:pPr>
    </w:p>
    <w:tbl>
      <w:tblPr>
        <w:tblStyle w:val="7"/>
        <w:tblW w:w="14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1"/>
        <w:gridCol w:w="453"/>
        <w:gridCol w:w="772"/>
        <w:gridCol w:w="5960"/>
        <w:gridCol w:w="502"/>
        <w:gridCol w:w="540"/>
        <w:gridCol w:w="438"/>
        <w:gridCol w:w="554"/>
        <w:gridCol w:w="541"/>
        <w:gridCol w:w="509"/>
        <w:gridCol w:w="606"/>
        <w:gridCol w:w="32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71" w:type="dxa"/>
            <w:vMerge w:val="restart"/>
            <w:tcBorders>
              <w:top w:val="single" w:color="auto" w:sz="8" w:space="0"/>
            </w:tcBorders>
            <w:noWrap/>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评价项目</w:t>
            </w:r>
          </w:p>
        </w:tc>
        <w:tc>
          <w:tcPr>
            <w:tcW w:w="453" w:type="dxa"/>
            <w:vMerge w:val="restart"/>
            <w:tcBorders>
              <w:top w:val="single" w:color="auto" w:sz="8" w:space="0"/>
            </w:tcBorders>
            <w:noWrap/>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序号</w:t>
            </w:r>
          </w:p>
        </w:tc>
        <w:tc>
          <w:tcPr>
            <w:tcW w:w="772" w:type="dxa"/>
            <w:vMerge w:val="restart"/>
            <w:tcBorders>
              <w:top w:val="single" w:color="auto" w:sz="8" w:space="0"/>
            </w:tcBorders>
            <w:noWrap/>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评价内容</w:t>
            </w:r>
          </w:p>
        </w:tc>
        <w:tc>
          <w:tcPr>
            <w:tcW w:w="5960" w:type="dxa"/>
            <w:vMerge w:val="restart"/>
            <w:tcBorders>
              <w:top w:val="single" w:color="auto" w:sz="8" w:space="0"/>
            </w:tcBorders>
            <w:noWrap/>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评</w:t>
            </w:r>
            <w:r>
              <w:rPr>
                <w:rFonts w:eastAsia="方正黑体_GBK"/>
                <w:color w:val="000000"/>
                <w:spacing w:val="-6"/>
                <w:kern w:val="0"/>
                <w:sz w:val="18"/>
                <w:szCs w:val="18"/>
              </w:rPr>
              <w:t xml:space="preserve">     </w:t>
            </w:r>
            <w:r>
              <w:rPr>
                <w:rFonts w:hint="eastAsia" w:eastAsia="方正黑体_GBK"/>
                <w:color w:val="000000"/>
                <w:spacing w:val="-6"/>
                <w:kern w:val="0"/>
                <w:sz w:val="18"/>
                <w:szCs w:val="18"/>
              </w:rPr>
              <w:t>分</w:t>
            </w:r>
            <w:r>
              <w:rPr>
                <w:rFonts w:eastAsia="方正黑体_GBK"/>
                <w:color w:val="000000"/>
                <w:spacing w:val="-6"/>
                <w:kern w:val="0"/>
                <w:sz w:val="18"/>
                <w:szCs w:val="18"/>
              </w:rPr>
              <w:t xml:space="preserve">     </w:t>
            </w:r>
            <w:r>
              <w:rPr>
                <w:rFonts w:hint="eastAsia" w:eastAsia="方正黑体_GBK"/>
                <w:color w:val="000000"/>
                <w:spacing w:val="-6"/>
                <w:kern w:val="0"/>
                <w:sz w:val="18"/>
                <w:szCs w:val="18"/>
              </w:rPr>
              <w:t>细</w:t>
            </w:r>
            <w:r>
              <w:rPr>
                <w:rFonts w:eastAsia="方正黑体_GBK"/>
                <w:color w:val="000000"/>
                <w:spacing w:val="-6"/>
                <w:kern w:val="0"/>
                <w:sz w:val="18"/>
                <w:szCs w:val="18"/>
              </w:rPr>
              <w:t xml:space="preserve">     </w:t>
            </w:r>
            <w:r>
              <w:rPr>
                <w:rFonts w:hint="eastAsia" w:eastAsia="方正黑体_GBK"/>
                <w:color w:val="000000"/>
                <w:spacing w:val="-6"/>
                <w:kern w:val="0"/>
                <w:sz w:val="18"/>
                <w:szCs w:val="18"/>
              </w:rPr>
              <w:t>则</w:t>
            </w:r>
          </w:p>
        </w:tc>
        <w:tc>
          <w:tcPr>
            <w:tcW w:w="1480" w:type="dxa"/>
            <w:gridSpan w:val="3"/>
            <w:tcBorders>
              <w:top w:val="single" w:color="auto" w:sz="8" w:space="0"/>
            </w:tcBorders>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评价加分</w:t>
            </w:r>
          </w:p>
        </w:tc>
        <w:tc>
          <w:tcPr>
            <w:tcW w:w="1604" w:type="dxa"/>
            <w:gridSpan w:val="3"/>
            <w:tcBorders>
              <w:top w:val="single" w:color="auto" w:sz="8" w:space="0"/>
            </w:tcBorders>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评价减分</w:t>
            </w:r>
          </w:p>
        </w:tc>
        <w:tc>
          <w:tcPr>
            <w:tcW w:w="606" w:type="dxa"/>
            <w:vMerge w:val="restart"/>
            <w:tcBorders>
              <w:top w:val="single" w:color="auto" w:sz="8" w:space="0"/>
            </w:tcBorders>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评</w:t>
            </w:r>
            <w:r>
              <w:rPr>
                <w:rFonts w:eastAsia="方正黑体_GBK"/>
                <w:color w:val="000000"/>
                <w:spacing w:val="-6"/>
                <w:kern w:val="0"/>
                <w:sz w:val="18"/>
                <w:szCs w:val="18"/>
              </w:rPr>
              <w:t xml:space="preserve"> </w:t>
            </w:r>
            <w:r>
              <w:rPr>
                <w:rFonts w:hint="eastAsia" w:eastAsia="方正黑体_GBK"/>
                <w:color w:val="000000"/>
                <w:spacing w:val="-6"/>
                <w:kern w:val="0"/>
                <w:sz w:val="18"/>
                <w:szCs w:val="18"/>
              </w:rPr>
              <w:t>价</w:t>
            </w:r>
          </w:p>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得</w:t>
            </w:r>
            <w:r>
              <w:rPr>
                <w:rFonts w:eastAsia="方正黑体_GBK"/>
                <w:color w:val="000000"/>
                <w:spacing w:val="-6"/>
                <w:kern w:val="0"/>
                <w:sz w:val="18"/>
                <w:szCs w:val="18"/>
              </w:rPr>
              <w:t xml:space="preserve"> </w:t>
            </w:r>
            <w:r>
              <w:rPr>
                <w:rFonts w:hint="eastAsia" w:eastAsia="方正黑体_GBK"/>
                <w:color w:val="000000"/>
                <w:spacing w:val="-6"/>
                <w:kern w:val="0"/>
                <w:sz w:val="18"/>
                <w:szCs w:val="18"/>
              </w:rPr>
              <w:t>分</w:t>
            </w:r>
          </w:p>
        </w:tc>
        <w:tc>
          <w:tcPr>
            <w:tcW w:w="3214" w:type="dxa"/>
            <w:vMerge w:val="restart"/>
            <w:tcBorders>
              <w:top w:val="single" w:color="auto" w:sz="8" w:space="0"/>
            </w:tcBorders>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信息采集来源和资料提供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871" w:type="dxa"/>
            <w:vMerge w:val="continue"/>
            <w:vAlign w:val="center"/>
          </w:tcPr>
          <w:p>
            <w:pPr>
              <w:widowControl/>
              <w:spacing w:line="240" w:lineRule="exact"/>
              <w:ind w:left="-63" w:leftChars="-30" w:right="-63" w:rightChars="-30"/>
              <w:jc w:val="center"/>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rFonts w:eastAsia="方正黑体_GBK"/>
                <w:color w:val="000000"/>
                <w:spacing w:val="-6"/>
                <w:kern w:val="0"/>
                <w:sz w:val="18"/>
                <w:szCs w:val="18"/>
              </w:rPr>
            </w:pPr>
          </w:p>
        </w:tc>
        <w:tc>
          <w:tcPr>
            <w:tcW w:w="772" w:type="dxa"/>
            <w:vMerge w:val="continue"/>
            <w:vAlign w:val="center"/>
          </w:tcPr>
          <w:p>
            <w:pPr>
              <w:widowControl/>
              <w:spacing w:line="240" w:lineRule="exact"/>
              <w:ind w:left="-63" w:leftChars="-30" w:right="-63" w:rightChars="-30"/>
              <w:jc w:val="center"/>
              <w:rPr>
                <w:rFonts w:eastAsia="方正黑体_GBK"/>
                <w:color w:val="000000"/>
                <w:spacing w:val="-6"/>
                <w:kern w:val="0"/>
                <w:sz w:val="18"/>
                <w:szCs w:val="18"/>
              </w:rPr>
            </w:pPr>
          </w:p>
        </w:tc>
        <w:tc>
          <w:tcPr>
            <w:tcW w:w="5960" w:type="dxa"/>
            <w:vMerge w:val="continue"/>
            <w:vAlign w:val="center"/>
          </w:tcPr>
          <w:p>
            <w:pPr>
              <w:widowControl/>
              <w:spacing w:line="240" w:lineRule="exact"/>
              <w:ind w:left="-63" w:leftChars="-30" w:right="-63" w:rightChars="-30"/>
              <w:jc w:val="center"/>
              <w:rPr>
                <w:rFonts w:eastAsia="方正黑体_GBK"/>
                <w:color w:val="000000"/>
                <w:spacing w:val="-6"/>
                <w:kern w:val="0"/>
                <w:sz w:val="18"/>
                <w:szCs w:val="18"/>
              </w:rPr>
            </w:pPr>
          </w:p>
        </w:tc>
        <w:tc>
          <w:tcPr>
            <w:tcW w:w="502" w:type="dxa"/>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加分</w:t>
            </w:r>
          </w:p>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选项</w:t>
            </w:r>
          </w:p>
        </w:tc>
        <w:tc>
          <w:tcPr>
            <w:tcW w:w="540" w:type="dxa"/>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加分</w:t>
            </w:r>
          </w:p>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分值</w:t>
            </w:r>
          </w:p>
        </w:tc>
        <w:tc>
          <w:tcPr>
            <w:tcW w:w="438" w:type="dxa"/>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加分</w:t>
            </w:r>
          </w:p>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限额</w:t>
            </w:r>
          </w:p>
        </w:tc>
        <w:tc>
          <w:tcPr>
            <w:tcW w:w="554" w:type="dxa"/>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减分</w:t>
            </w:r>
          </w:p>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选项</w:t>
            </w:r>
          </w:p>
        </w:tc>
        <w:tc>
          <w:tcPr>
            <w:tcW w:w="541" w:type="dxa"/>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减分</w:t>
            </w:r>
          </w:p>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分值</w:t>
            </w:r>
          </w:p>
        </w:tc>
        <w:tc>
          <w:tcPr>
            <w:tcW w:w="509" w:type="dxa"/>
            <w:vAlign w:val="center"/>
          </w:tcPr>
          <w:p>
            <w:pPr>
              <w:widowControl/>
              <w:spacing w:line="24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减分限额</w:t>
            </w:r>
          </w:p>
        </w:tc>
        <w:tc>
          <w:tcPr>
            <w:tcW w:w="606" w:type="dxa"/>
            <w:vMerge w:val="continue"/>
            <w:vAlign w:val="center"/>
          </w:tcPr>
          <w:p>
            <w:pPr>
              <w:widowControl/>
              <w:spacing w:line="240" w:lineRule="exact"/>
              <w:ind w:left="-63" w:leftChars="-30" w:right="-63" w:rightChars="-30"/>
              <w:jc w:val="center"/>
              <w:rPr>
                <w:rFonts w:eastAsia="方正黑体_GBK"/>
                <w:color w:val="000000"/>
                <w:spacing w:val="-6"/>
                <w:kern w:val="0"/>
                <w:sz w:val="18"/>
                <w:szCs w:val="18"/>
              </w:rPr>
            </w:pPr>
          </w:p>
        </w:tc>
        <w:tc>
          <w:tcPr>
            <w:tcW w:w="3214" w:type="dxa"/>
            <w:vMerge w:val="continue"/>
            <w:vAlign w:val="center"/>
          </w:tcPr>
          <w:p>
            <w:pPr>
              <w:widowControl/>
              <w:spacing w:line="240" w:lineRule="exact"/>
              <w:ind w:left="-63" w:leftChars="-30" w:right="-63" w:rightChars="-30"/>
              <w:jc w:val="center"/>
              <w:rPr>
                <w:rFonts w:eastAsia="方正黑体_GBK"/>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71" w:type="dxa"/>
            <w:vMerge w:val="restart"/>
            <w:vAlign w:val="center"/>
          </w:tcPr>
          <w:p>
            <w:pPr>
              <w:spacing w:line="240" w:lineRule="exact"/>
              <w:ind w:left="-63" w:leftChars="-30" w:right="-63" w:rightChars="-30"/>
              <w:rPr>
                <w:rFonts w:eastAsia="方正黑体_GBK"/>
                <w:color w:val="000000"/>
                <w:spacing w:val="-6"/>
                <w:kern w:val="0"/>
                <w:sz w:val="18"/>
                <w:szCs w:val="18"/>
              </w:rPr>
            </w:pPr>
            <w:r>
              <w:rPr>
                <w:rFonts w:hint="eastAsia" w:eastAsia="方正黑体_GBK"/>
                <w:color w:val="000000"/>
                <w:spacing w:val="-6"/>
                <w:kern w:val="0"/>
                <w:sz w:val="18"/>
                <w:szCs w:val="18"/>
              </w:rPr>
              <w:t>一、资产资质信用评价</w:t>
            </w:r>
          </w:p>
        </w:tc>
        <w:tc>
          <w:tcPr>
            <w:tcW w:w="453" w:type="dxa"/>
            <w:vMerge w:val="restart"/>
            <w:noWrap/>
            <w:vAlign w:val="center"/>
          </w:tcPr>
          <w:p>
            <w:pPr>
              <w:spacing w:line="240" w:lineRule="exact"/>
              <w:ind w:left="-63" w:leftChars="-30" w:right="-63" w:rightChars="-30"/>
              <w:jc w:val="center"/>
              <w:rPr>
                <w:color w:val="000000"/>
                <w:spacing w:val="-6"/>
                <w:kern w:val="0"/>
                <w:sz w:val="18"/>
                <w:szCs w:val="18"/>
              </w:rPr>
            </w:pPr>
            <w:r>
              <w:rPr>
                <w:color w:val="000000"/>
                <w:spacing w:val="-6"/>
                <w:kern w:val="0"/>
                <w:sz w:val="18"/>
                <w:szCs w:val="18"/>
              </w:rPr>
              <w:t>1</w:t>
            </w:r>
          </w:p>
        </w:tc>
        <w:tc>
          <w:tcPr>
            <w:tcW w:w="772" w:type="dxa"/>
            <w:vMerge w:val="restart"/>
            <w:noWrap/>
            <w:vAlign w:val="center"/>
          </w:tcPr>
          <w:p>
            <w:pPr>
              <w:spacing w:line="240" w:lineRule="exact"/>
              <w:ind w:left="-63" w:leftChars="-30" w:right="-63" w:rightChars="-30"/>
              <w:jc w:val="left"/>
              <w:rPr>
                <w:b/>
                <w:bCs/>
                <w:color w:val="000000"/>
                <w:spacing w:val="-6"/>
                <w:kern w:val="0"/>
                <w:sz w:val="18"/>
                <w:szCs w:val="18"/>
              </w:rPr>
            </w:pPr>
            <w:r>
              <w:rPr>
                <w:rFonts w:hint="eastAsia" w:hAnsi="宋体"/>
                <w:b/>
                <w:bCs/>
                <w:color w:val="000000"/>
                <w:spacing w:val="-6"/>
                <w:kern w:val="0"/>
                <w:sz w:val="18"/>
                <w:szCs w:val="18"/>
              </w:rPr>
              <w:t>资产条件</w:t>
            </w: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年末</w:t>
            </w:r>
            <w:r>
              <w:rPr>
                <w:rFonts w:hint="eastAsia"/>
                <w:color w:val="000000"/>
                <w:spacing w:val="-6"/>
                <w:kern w:val="0"/>
                <w:sz w:val="18"/>
                <w:szCs w:val="18"/>
              </w:rPr>
              <w:t>“</w:t>
            </w:r>
            <w:r>
              <w:rPr>
                <w:rFonts w:hint="eastAsia" w:hAnsi="宋体"/>
                <w:color w:val="000000"/>
                <w:spacing w:val="-6"/>
                <w:kern w:val="0"/>
                <w:sz w:val="18"/>
                <w:szCs w:val="18"/>
              </w:rPr>
              <w:t>资产合计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年末</w:t>
            </w:r>
            <w:r>
              <w:rPr>
                <w:rFonts w:hint="eastAsia"/>
                <w:color w:val="000000"/>
                <w:spacing w:val="-6"/>
                <w:kern w:val="0"/>
                <w:sz w:val="18"/>
                <w:szCs w:val="18"/>
              </w:rPr>
              <w:t>“</w:t>
            </w:r>
            <w:r>
              <w:rPr>
                <w:rFonts w:hint="eastAsia" w:hAnsi="宋体"/>
                <w:color w:val="000000"/>
                <w:spacing w:val="-6"/>
                <w:kern w:val="0"/>
                <w:sz w:val="18"/>
                <w:szCs w:val="18"/>
              </w:rPr>
              <w:t>负债合计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年企业</w:t>
            </w:r>
            <w:r>
              <w:rPr>
                <w:rFonts w:hint="eastAsia"/>
                <w:color w:val="000000"/>
                <w:spacing w:val="-6"/>
                <w:kern w:val="0"/>
                <w:sz w:val="18"/>
                <w:szCs w:val="18"/>
              </w:rPr>
              <w:t>“</w:t>
            </w:r>
            <w:r>
              <w:rPr>
                <w:rFonts w:hint="eastAsia" w:hAnsi="宋体"/>
                <w:color w:val="000000"/>
                <w:spacing w:val="-6"/>
                <w:kern w:val="0"/>
                <w:sz w:val="18"/>
                <w:szCs w:val="18"/>
              </w:rPr>
              <w:t>企业净资产</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502" w:type="dxa"/>
            <w:vMerge w:val="restart"/>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vMerge w:val="restart"/>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1</w:t>
            </w:r>
          </w:p>
        </w:tc>
        <w:tc>
          <w:tcPr>
            <w:tcW w:w="554" w:type="dxa"/>
            <w:vMerge w:val="restart"/>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vMerge w:val="restart"/>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2</w:t>
            </w: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资产合计</w:t>
            </w:r>
            <w:r>
              <w:rPr>
                <w:rFonts w:hint="eastAsia"/>
                <w:color w:val="000000"/>
                <w:spacing w:val="-6"/>
                <w:kern w:val="0"/>
                <w:sz w:val="18"/>
                <w:szCs w:val="18"/>
              </w:rPr>
              <w:t>”“</w:t>
            </w:r>
            <w:r>
              <w:rPr>
                <w:rFonts w:hint="eastAsia" w:hAnsi="宋体"/>
                <w:color w:val="000000"/>
                <w:spacing w:val="-6"/>
                <w:kern w:val="0"/>
                <w:sz w:val="18"/>
                <w:szCs w:val="18"/>
              </w:rPr>
              <w:t>负债合计</w:t>
            </w:r>
            <w:r>
              <w:rPr>
                <w:rFonts w:hint="eastAsia"/>
                <w:color w:val="000000"/>
                <w:spacing w:val="-6"/>
                <w:kern w:val="0"/>
                <w:sz w:val="18"/>
                <w:szCs w:val="18"/>
              </w:rPr>
              <w:t>”</w:t>
            </w:r>
            <w:r>
              <w:rPr>
                <w:rFonts w:hint="eastAsia" w:hAnsi="宋体"/>
                <w:color w:val="000000"/>
                <w:spacing w:val="-6"/>
                <w:kern w:val="0"/>
                <w:sz w:val="18"/>
                <w:szCs w:val="18"/>
              </w:rPr>
              <w:t>：根据国家</w:t>
            </w:r>
            <w:r>
              <w:rPr>
                <w:rFonts w:hint="eastAsia"/>
                <w:color w:val="000000"/>
                <w:spacing w:val="-6"/>
                <w:kern w:val="0"/>
                <w:sz w:val="18"/>
                <w:szCs w:val="18"/>
              </w:rPr>
              <w:t>“</w:t>
            </w:r>
            <w:r>
              <w:rPr>
                <w:rFonts w:hint="eastAsia" w:hAnsi="宋体"/>
                <w:color w:val="000000"/>
                <w:spacing w:val="-6"/>
                <w:kern w:val="0"/>
                <w:sz w:val="18"/>
                <w:szCs w:val="18"/>
              </w:rPr>
              <w:t>工程造价咨询统计报表制度</w:t>
            </w:r>
            <w:r>
              <w:rPr>
                <w:rFonts w:hint="eastAsia"/>
                <w:color w:val="000000"/>
                <w:spacing w:val="-6"/>
                <w:kern w:val="0"/>
                <w:sz w:val="18"/>
                <w:szCs w:val="18"/>
              </w:rPr>
              <w:t>”</w:t>
            </w:r>
            <w:r>
              <w:rPr>
                <w:color w:val="000000"/>
                <w:spacing w:val="-6"/>
                <w:kern w:val="0"/>
                <w:sz w:val="18"/>
                <w:szCs w:val="18"/>
              </w:rPr>
              <w:t>,</w:t>
            </w:r>
            <w:r>
              <w:rPr>
                <w:rFonts w:hint="eastAsia" w:hAnsi="宋体"/>
                <w:color w:val="000000"/>
                <w:spacing w:val="-6"/>
                <w:kern w:val="0"/>
                <w:sz w:val="18"/>
                <w:szCs w:val="18"/>
              </w:rPr>
              <w:t>由信用评价系统从造价咨询企业年度统计报表</w:t>
            </w:r>
            <w:r>
              <w:rPr>
                <w:color w:val="000000"/>
                <w:spacing w:val="-6"/>
                <w:kern w:val="0"/>
                <w:sz w:val="18"/>
                <w:szCs w:val="18"/>
              </w:rPr>
              <w:t>4</w:t>
            </w:r>
            <w:r>
              <w:rPr>
                <w:rFonts w:hint="eastAsia" w:hAnsi="宋体"/>
                <w:color w:val="000000"/>
                <w:spacing w:val="-6"/>
                <w:kern w:val="0"/>
                <w:sz w:val="18"/>
                <w:szCs w:val="18"/>
              </w:rPr>
              <w:t>中提取数据，不需企业填写。</w:t>
            </w:r>
          </w:p>
          <w:p>
            <w:pPr>
              <w:widowControl/>
              <w:spacing w:line="240" w:lineRule="exact"/>
              <w:ind w:left="-63" w:leftChars="-30" w:right="-63" w:rightChars="-30"/>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企业净资产</w:t>
            </w:r>
            <w:r>
              <w:rPr>
                <w:rFonts w:hint="eastAsia"/>
                <w:color w:val="000000"/>
                <w:spacing w:val="-6"/>
                <w:kern w:val="0"/>
                <w:sz w:val="18"/>
                <w:szCs w:val="18"/>
              </w:rPr>
              <w:t>”</w:t>
            </w:r>
            <w:r>
              <w:rPr>
                <w:rFonts w:hint="eastAsia" w:hAnsi="宋体"/>
                <w:color w:val="000000"/>
                <w:spacing w:val="-6"/>
                <w:kern w:val="0"/>
                <w:sz w:val="18"/>
                <w:szCs w:val="18"/>
              </w:rPr>
              <w:t>指企业的</w:t>
            </w:r>
            <w:r>
              <w:rPr>
                <w:rFonts w:hint="eastAsia"/>
                <w:color w:val="000000"/>
                <w:spacing w:val="-6"/>
                <w:kern w:val="0"/>
                <w:sz w:val="18"/>
                <w:szCs w:val="18"/>
              </w:rPr>
              <w:t>“</w:t>
            </w:r>
            <w:r>
              <w:rPr>
                <w:rFonts w:hint="eastAsia" w:hAnsi="宋体"/>
                <w:color w:val="000000"/>
                <w:spacing w:val="-6"/>
                <w:kern w:val="0"/>
                <w:sz w:val="18"/>
                <w:szCs w:val="18"/>
              </w:rPr>
              <w:t>资产合计</w:t>
            </w:r>
            <w:r>
              <w:rPr>
                <w:rFonts w:hint="eastAsia"/>
                <w:color w:val="000000"/>
                <w:spacing w:val="-6"/>
                <w:kern w:val="0"/>
                <w:sz w:val="18"/>
                <w:szCs w:val="18"/>
              </w:rPr>
              <w:t>”</w:t>
            </w:r>
            <w:r>
              <w:rPr>
                <w:rFonts w:hint="eastAsia" w:hAnsi="宋体"/>
                <w:color w:val="000000"/>
                <w:spacing w:val="-6"/>
                <w:kern w:val="0"/>
                <w:sz w:val="18"/>
                <w:szCs w:val="18"/>
              </w:rPr>
              <w:t>减去</w:t>
            </w:r>
            <w:r>
              <w:rPr>
                <w:rFonts w:hint="eastAsia"/>
                <w:color w:val="000000"/>
                <w:spacing w:val="-6"/>
                <w:kern w:val="0"/>
                <w:sz w:val="18"/>
                <w:szCs w:val="18"/>
              </w:rPr>
              <w:t>“</w:t>
            </w:r>
            <w:r>
              <w:rPr>
                <w:rFonts w:hint="eastAsia" w:hAnsi="宋体"/>
                <w:color w:val="000000"/>
                <w:spacing w:val="-6"/>
                <w:kern w:val="0"/>
                <w:sz w:val="18"/>
                <w:szCs w:val="18"/>
              </w:rPr>
              <w:t>负债合计</w:t>
            </w:r>
            <w:r>
              <w:rPr>
                <w:rFonts w:hint="eastAsia"/>
                <w:color w:val="000000"/>
                <w:spacing w:val="-6"/>
                <w:kern w:val="0"/>
                <w:sz w:val="18"/>
                <w:szCs w:val="18"/>
              </w:rPr>
              <w:t>”</w:t>
            </w:r>
            <w:r>
              <w:rPr>
                <w:rFonts w:hint="eastAsia" w:hAnsi="宋体"/>
                <w:color w:val="000000"/>
                <w:spacing w:val="-6"/>
                <w:kern w:val="0"/>
                <w:sz w:val="18"/>
                <w:szCs w:val="18"/>
              </w:rPr>
              <w:t>。</w:t>
            </w:r>
          </w:p>
          <w:p>
            <w:pPr>
              <w:widowControl/>
              <w:spacing w:line="240" w:lineRule="exact"/>
              <w:ind w:left="-63" w:leftChars="-30" w:right="-63" w:rightChars="-30"/>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、两年</w:t>
            </w:r>
            <w:r>
              <w:rPr>
                <w:rFonts w:hint="eastAsia"/>
                <w:color w:val="000000"/>
                <w:spacing w:val="-6"/>
                <w:kern w:val="0"/>
                <w:sz w:val="18"/>
                <w:szCs w:val="18"/>
              </w:rPr>
              <w:t>“</w:t>
            </w:r>
            <w:r>
              <w:rPr>
                <w:rFonts w:hint="eastAsia" w:hAnsi="宋体"/>
                <w:color w:val="000000"/>
                <w:spacing w:val="-6"/>
                <w:kern w:val="0"/>
                <w:sz w:val="18"/>
                <w:szCs w:val="18"/>
              </w:rPr>
              <w:t>企业净资产</w:t>
            </w:r>
            <w:r>
              <w:rPr>
                <w:rFonts w:hint="eastAsia"/>
                <w:color w:val="000000"/>
                <w:spacing w:val="-6"/>
                <w:kern w:val="0"/>
                <w:sz w:val="18"/>
                <w:szCs w:val="18"/>
              </w:rPr>
              <w:t>”</w:t>
            </w:r>
            <w:r>
              <w:rPr>
                <w:rFonts w:hint="eastAsia" w:hAnsi="宋体"/>
                <w:color w:val="000000"/>
                <w:spacing w:val="-6"/>
                <w:kern w:val="0"/>
                <w:sz w:val="18"/>
                <w:szCs w:val="18"/>
              </w:rPr>
              <w:t>为算术平均值，四舍五入保留小数点后位小数，由信用评价系统自动生成，不需企业填写。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spacing w:line="240" w:lineRule="exact"/>
              <w:ind w:left="-63" w:leftChars="-30" w:right="-63" w:rightChars="-30"/>
              <w:jc w:val="center"/>
              <w:rPr>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年末</w:t>
            </w:r>
            <w:r>
              <w:rPr>
                <w:rFonts w:hint="eastAsia"/>
                <w:color w:val="000000"/>
                <w:spacing w:val="-6"/>
                <w:kern w:val="0"/>
                <w:sz w:val="18"/>
                <w:szCs w:val="18"/>
              </w:rPr>
              <w:t>“</w:t>
            </w:r>
            <w:r>
              <w:rPr>
                <w:rFonts w:hint="eastAsia" w:hAnsi="宋体"/>
                <w:color w:val="000000"/>
                <w:spacing w:val="-6"/>
                <w:kern w:val="0"/>
                <w:sz w:val="18"/>
                <w:szCs w:val="18"/>
              </w:rPr>
              <w:t>资产合计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年末</w:t>
            </w:r>
            <w:r>
              <w:rPr>
                <w:rFonts w:hint="eastAsia"/>
                <w:color w:val="000000"/>
                <w:spacing w:val="-6"/>
                <w:kern w:val="0"/>
                <w:sz w:val="18"/>
                <w:szCs w:val="18"/>
              </w:rPr>
              <w:t>“</w:t>
            </w:r>
            <w:r>
              <w:rPr>
                <w:rFonts w:hint="eastAsia" w:hAnsi="宋体"/>
                <w:color w:val="000000"/>
                <w:spacing w:val="-6"/>
                <w:kern w:val="0"/>
                <w:sz w:val="18"/>
                <w:szCs w:val="18"/>
              </w:rPr>
              <w:t>负债合计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r>
              <w:rPr>
                <w:color w:val="000000"/>
                <w:spacing w:val="-6"/>
                <w:kern w:val="0"/>
                <w:sz w:val="18"/>
                <w:szCs w:val="18"/>
              </w:rPr>
              <w:t xml:space="preserve"> </w:t>
            </w:r>
          </w:p>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年企业</w:t>
            </w:r>
            <w:r>
              <w:rPr>
                <w:rFonts w:hint="eastAsia"/>
                <w:color w:val="000000"/>
                <w:spacing w:val="-6"/>
                <w:kern w:val="0"/>
                <w:sz w:val="18"/>
                <w:szCs w:val="18"/>
              </w:rPr>
              <w:t>“</w:t>
            </w:r>
            <w:r>
              <w:rPr>
                <w:rFonts w:hint="eastAsia" w:hAnsi="宋体"/>
                <w:color w:val="000000"/>
                <w:spacing w:val="-6"/>
                <w:kern w:val="0"/>
                <w:sz w:val="18"/>
                <w:szCs w:val="18"/>
              </w:rPr>
              <w:t>企业净资产</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r>
              <w:rPr>
                <w:color w:val="000000"/>
                <w:spacing w:val="-6"/>
                <w:kern w:val="0"/>
                <w:sz w:val="18"/>
                <w:szCs w:val="18"/>
              </w:rPr>
              <w:t xml:space="preserve">  </w:t>
            </w:r>
          </w:p>
        </w:tc>
        <w:tc>
          <w:tcPr>
            <w:tcW w:w="502"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40"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41"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spacing w:line="240" w:lineRule="exact"/>
              <w:ind w:left="-63" w:leftChars="-30" w:right="-63" w:rightChars="-30"/>
              <w:jc w:val="center"/>
              <w:rPr>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企业</w:t>
            </w:r>
            <w:r>
              <w:rPr>
                <w:color w:val="000000"/>
                <w:spacing w:val="-6"/>
                <w:kern w:val="0"/>
                <w:sz w:val="18"/>
                <w:szCs w:val="18"/>
              </w:rPr>
              <w:t>2018</w:t>
            </w:r>
            <w:r>
              <w:rPr>
                <w:rFonts w:hint="eastAsia" w:hAnsi="宋体"/>
                <w:color w:val="000000"/>
                <w:spacing w:val="-6"/>
                <w:kern w:val="0"/>
                <w:sz w:val="18"/>
                <w:szCs w:val="18"/>
              </w:rPr>
              <w:t>、</w:t>
            </w:r>
            <w:r>
              <w:rPr>
                <w:color w:val="000000"/>
                <w:spacing w:val="-6"/>
                <w:kern w:val="0"/>
                <w:sz w:val="18"/>
                <w:szCs w:val="18"/>
              </w:rPr>
              <w:t>2019</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企业净资产</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502"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40"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41"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spacing w:line="240" w:lineRule="exact"/>
              <w:ind w:left="-63" w:leftChars="-30" w:right="-63" w:rightChars="-30"/>
              <w:jc w:val="center"/>
              <w:rPr>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、企业两年平均</w:t>
            </w:r>
            <w:r>
              <w:rPr>
                <w:rFonts w:hint="eastAsia"/>
                <w:color w:val="000000"/>
                <w:spacing w:val="-6"/>
                <w:kern w:val="0"/>
                <w:sz w:val="18"/>
                <w:szCs w:val="18"/>
              </w:rPr>
              <w:t>“</w:t>
            </w:r>
            <w:r>
              <w:rPr>
                <w:rFonts w:hint="eastAsia" w:hAnsi="宋体"/>
                <w:color w:val="000000"/>
                <w:spacing w:val="-6"/>
                <w:kern w:val="0"/>
                <w:sz w:val="18"/>
                <w:szCs w:val="18"/>
              </w:rPr>
              <w:t>企业净资产</w:t>
            </w:r>
            <w:r>
              <w:rPr>
                <w:rFonts w:hint="eastAsia"/>
                <w:color w:val="000000"/>
                <w:spacing w:val="-6"/>
                <w:kern w:val="0"/>
                <w:sz w:val="18"/>
                <w:szCs w:val="18"/>
              </w:rPr>
              <w:t>”</w:t>
            </w:r>
            <w:r>
              <w:rPr>
                <w:rFonts w:hint="eastAsia" w:hAnsi="宋体"/>
                <w:color w:val="000000"/>
                <w:spacing w:val="-6"/>
                <w:kern w:val="0"/>
                <w:sz w:val="18"/>
                <w:szCs w:val="18"/>
              </w:rPr>
              <w:t>在企业注册所在地位于全市前</w:t>
            </w:r>
            <w:r>
              <w:rPr>
                <w:color w:val="000000"/>
                <w:spacing w:val="-6"/>
                <w:kern w:val="0"/>
                <w:sz w:val="18"/>
                <w:szCs w:val="18"/>
              </w:rPr>
              <w:t>30%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分；位于全市前</w:t>
            </w:r>
            <w:r>
              <w:rPr>
                <w:color w:val="000000"/>
                <w:spacing w:val="-6"/>
                <w:kern w:val="0"/>
                <w:sz w:val="18"/>
                <w:szCs w:val="18"/>
              </w:rPr>
              <w:t>30%</w:t>
            </w:r>
            <w:r>
              <w:rPr>
                <w:rFonts w:hint="eastAsia" w:hAnsi="宋体"/>
                <w:color w:val="000000"/>
                <w:spacing w:val="-6"/>
                <w:kern w:val="0"/>
                <w:sz w:val="18"/>
                <w:szCs w:val="18"/>
              </w:rPr>
              <w:t>之后的，计加</w:t>
            </w:r>
            <w:r>
              <w:rPr>
                <w:color w:val="000000"/>
                <w:spacing w:val="-6"/>
                <w:kern w:val="0"/>
                <w:sz w:val="18"/>
                <w:szCs w:val="18"/>
              </w:rPr>
              <w:t>0.5</w:t>
            </w:r>
            <w:r>
              <w:rPr>
                <w:rFonts w:hint="eastAsia" w:hAnsi="宋体"/>
                <w:color w:val="000000"/>
                <w:spacing w:val="-6"/>
                <w:kern w:val="0"/>
                <w:sz w:val="18"/>
                <w:szCs w:val="18"/>
              </w:rPr>
              <w:t>分。</w:t>
            </w:r>
          </w:p>
        </w:tc>
        <w:tc>
          <w:tcPr>
            <w:tcW w:w="502" w:type="dxa"/>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772" w:type="dxa"/>
            <w:vMerge w:val="continue"/>
            <w:noWrap/>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w:t>
            </w:r>
            <w:r>
              <w:rPr>
                <w:rFonts w:hint="eastAsia" w:hAnsi="宋体"/>
                <w:color w:val="000000"/>
                <w:spacing w:val="-10"/>
                <w:kern w:val="0"/>
                <w:sz w:val="18"/>
                <w:szCs w:val="18"/>
              </w:rPr>
              <w:t>企业</w:t>
            </w:r>
            <w:r>
              <w:rPr>
                <w:rFonts w:hint="eastAsia"/>
                <w:color w:val="000000"/>
                <w:spacing w:val="-10"/>
                <w:kern w:val="0"/>
                <w:sz w:val="18"/>
                <w:szCs w:val="18"/>
              </w:rPr>
              <w:t>“</w:t>
            </w:r>
            <w:r>
              <w:rPr>
                <w:rFonts w:hint="eastAsia" w:hAnsi="宋体"/>
                <w:color w:val="000000"/>
                <w:spacing w:val="-10"/>
                <w:kern w:val="0"/>
                <w:sz w:val="18"/>
                <w:szCs w:val="18"/>
              </w:rPr>
              <w:t>工程造价咨询统计年报</w:t>
            </w:r>
            <w:r>
              <w:rPr>
                <w:rFonts w:hint="eastAsia"/>
                <w:color w:val="000000"/>
                <w:spacing w:val="-10"/>
                <w:kern w:val="0"/>
                <w:sz w:val="18"/>
                <w:szCs w:val="18"/>
              </w:rPr>
              <w:t>”</w:t>
            </w:r>
            <w:r>
              <w:rPr>
                <w:rFonts w:hint="eastAsia" w:hAnsi="宋体"/>
                <w:color w:val="000000"/>
                <w:spacing w:val="-10"/>
                <w:kern w:val="0"/>
                <w:sz w:val="18"/>
                <w:szCs w:val="18"/>
              </w:rPr>
              <w:t>关于</w:t>
            </w:r>
            <w:r>
              <w:rPr>
                <w:rFonts w:hint="eastAsia"/>
                <w:color w:val="000000"/>
                <w:spacing w:val="-10"/>
                <w:kern w:val="0"/>
                <w:sz w:val="18"/>
                <w:szCs w:val="18"/>
              </w:rPr>
              <w:t>“</w:t>
            </w:r>
            <w:r>
              <w:rPr>
                <w:rFonts w:hint="eastAsia" w:hAnsi="宋体"/>
                <w:color w:val="000000"/>
                <w:spacing w:val="-10"/>
                <w:kern w:val="0"/>
                <w:sz w:val="18"/>
                <w:szCs w:val="18"/>
              </w:rPr>
              <w:t>资产合计</w:t>
            </w:r>
            <w:r>
              <w:rPr>
                <w:rFonts w:hint="eastAsia"/>
                <w:color w:val="000000"/>
                <w:spacing w:val="-10"/>
                <w:kern w:val="0"/>
                <w:sz w:val="18"/>
                <w:szCs w:val="18"/>
              </w:rPr>
              <w:t>”“</w:t>
            </w:r>
            <w:r>
              <w:rPr>
                <w:rFonts w:hint="eastAsia" w:hAnsi="宋体"/>
                <w:color w:val="000000"/>
                <w:spacing w:val="-10"/>
                <w:kern w:val="0"/>
                <w:sz w:val="18"/>
                <w:szCs w:val="18"/>
              </w:rPr>
              <w:t>负债合计</w:t>
            </w:r>
            <w:r>
              <w:rPr>
                <w:rFonts w:hint="eastAsia"/>
                <w:color w:val="000000"/>
                <w:spacing w:val="-10"/>
                <w:kern w:val="0"/>
                <w:sz w:val="18"/>
                <w:szCs w:val="18"/>
              </w:rPr>
              <w:t>”“</w:t>
            </w:r>
            <w:r>
              <w:rPr>
                <w:rFonts w:hint="eastAsia" w:hAnsi="宋体"/>
                <w:color w:val="000000"/>
                <w:spacing w:val="-10"/>
                <w:kern w:val="0"/>
                <w:sz w:val="18"/>
                <w:szCs w:val="18"/>
              </w:rPr>
              <w:t>企业净资产</w:t>
            </w:r>
            <w:r>
              <w:rPr>
                <w:rFonts w:hint="eastAsia"/>
                <w:color w:val="000000"/>
                <w:spacing w:val="-10"/>
                <w:kern w:val="0"/>
                <w:sz w:val="18"/>
                <w:szCs w:val="18"/>
              </w:rPr>
              <w:t>”</w:t>
            </w:r>
            <w:r>
              <w:rPr>
                <w:rFonts w:hint="eastAsia" w:hAnsi="宋体"/>
                <w:color w:val="000000"/>
                <w:spacing w:val="-10"/>
                <w:kern w:val="0"/>
                <w:sz w:val="18"/>
                <w:szCs w:val="18"/>
              </w:rPr>
              <w:t>与企业年度财务报告、财务审计报告不符，以年度财务报告、财务审计报告数据为准，相差超过</w:t>
            </w:r>
            <w:r>
              <w:rPr>
                <w:color w:val="000000"/>
                <w:spacing w:val="-10"/>
                <w:kern w:val="0"/>
                <w:sz w:val="18"/>
                <w:szCs w:val="18"/>
              </w:rPr>
              <w:t>10%</w:t>
            </w:r>
            <w:r>
              <w:rPr>
                <w:rFonts w:hint="eastAsia" w:hAnsi="宋体"/>
                <w:color w:val="000000"/>
                <w:spacing w:val="-10"/>
                <w:kern w:val="0"/>
                <w:sz w:val="18"/>
                <w:szCs w:val="18"/>
              </w:rPr>
              <w:t>不足</w:t>
            </w:r>
            <w:r>
              <w:rPr>
                <w:color w:val="000000"/>
                <w:spacing w:val="-10"/>
                <w:kern w:val="0"/>
                <w:sz w:val="18"/>
                <w:szCs w:val="18"/>
              </w:rPr>
              <w:t>20%</w:t>
            </w:r>
            <w:r>
              <w:rPr>
                <w:rFonts w:hint="eastAsia" w:hAnsi="宋体"/>
                <w:color w:val="000000"/>
                <w:spacing w:val="-10"/>
                <w:kern w:val="0"/>
                <w:sz w:val="18"/>
                <w:szCs w:val="18"/>
              </w:rPr>
              <w:t>的，计减</w:t>
            </w:r>
            <w:r>
              <w:rPr>
                <w:color w:val="000000"/>
                <w:spacing w:val="-10"/>
                <w:kern w:val="0"/>
                <w:sz w:val="18"/>
                <w:szCs w:val="18"/>
              </w:rPr>
              <w:t>1</w:t>
            </w:r>
            <w:r>
              <w:rPr>
                <w:rFonts w:hint="eastAsia" w:hAnsi="宋体"/>
                <w:color w:val="000000"/>
                <w:spacing w:val="-10"/>
                <w:kern w:val="0"/>
                <w:sz w:val="18"/>
                <w:szCs w:val="18"/>
              </w:rPr>
              <w:t>分；相差超过</w:t>
            </w:r>
            <w:r>
              <w:rPr>
                <w:color w:val="000000"/>
                <w:spacing w:val="-10"/>
                <w:kern w:val="0"/>
                <w:sz w:val="18"/>
                <w:szCs w:val="18"/>
              </w:rPr>
              <w:t>20%</w:t>
            </w:r>
            <w:r>
              <w:rPr>
                <w:rFonts w:hint="eastAsia" w:hAnsi="宋体"/>
                <w:color w:val="000000"/>
                <w:spacing w:val="-10"/>
                <w:kern w:val="0"/>
                <w:sz w:val="18"/>
                <w:szCs w:val="18"/>
              </w:rPr>
              <w:t>以上的，计减</w:t>
            </w:r>
            <w:r>
              <w:rPr>
                <w:color w:val="000000"/>
                <w:spacing w:val="-10"/>
                <w:kern w:val="0"/>
                <w:sz w:val="18"/>
                <w:szCs w:val="18"/>
              </w:rPr>
              <w:t>2</w:t>
            </w:r>
            <w:r>
              <w:rPr>
                <w:rFonts w:hint="eastAsia" w:hAnsi="宋体"/>
                <w:color w:val="000000"/>
                <w:spacing w:val="-10"/>
                <w:kern w:val="0"/>
                <w:sz w:val="18"/>
                <w:szCs w:val="18"/>
              </w:rPr>
              <w:t>分。</w:t>
            </w:r>
          </w:p>
        </w:tc>
        <w:tc>
          <w:tcPr>
            <w:tcW w:w="502" w:type="dxa"/>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2</w:t>
            </w:r>
          </w:p>
        </w:tc>
        <w:tc>
          <w:tcPr>
            <w:tcW w:w="772"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资质条件</w:t>
            </w:r>
          </w:p>
        </w:tc>
        <w:tc>
          <w:tcPr>
            <w:tcW w:w="5960" w:type="dxa"/>
            <w:vAlign w:val="center"/>
          </w:tcPr>
          <w:p>
            <w:pPr>
              <w:widowControl/>
              <w:spacing w:line="240" w:lineRule="exact"/>
              <w:ind w:left="-30" w:right="-63" w:rightChars="-30"/>
              <w:rPr>
                <w:color w:val="000000"/>
                <w:spacing w:val="-6"/>
                <w:kern w:val="0"/>
                <w:sz w:val="18"/>
                <w:szCs w:val="18"/>
              </w:rPr>
            </w:pPr>
            <w:r>
              <w:rPr>
                <w:rFonts w:hint="eastAsia" w:hAnsi="宋体"/>
                <w:color w:val="000000"/>
                <w:spacing w:val="-6"/>
                <w:kern w:val="0"/>
                <w:sz w:val="18"/>
                <w:szCs w:val="18"/>
              </w:rPr>
              <w:t>企业资质状况满足修订后的建设部</w:t>
            </w:r>
            <w:r>
              <w:rPr>
                <w:color w:val="000000"/>
                <w:spacing w:val="-6"/>
                <w:kern w:val="0"/>
                <w:sz w:val="18"/>
                <w:szCs w:val="18"/>
              </w:rPr>
              <w:t>149</w:t>
            </w:r>
            <w:r>
              <w:rPr>
                <w:rFonts w:hint="eastAsia" w:hAnsi="宋体"/>
                <w:color w:val="000000"/>
                <w:spacing w:val="-6"/>
                <w:kern w:val="0"/>
                <w:sz w:val="18"/>
                <w:szCs w:val="18"/>
              </w:rPr>
              <w:t>号令规定的资质等级条件。</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2</w:t>
            </w: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、整改通知书</w:t>
            </w:r>
            <w:r>
              <w:rPr>
                <w:color w:val="000000"/>
                <w:spacing w:val="-6"/>
                <w:kern w:val="0"/>
                <w:sz w:val="18"/>
                <w:szCs w:val="18"/>
              </w:rPr>
              <w:t>(</w:t>
            </w:r>
            <w:r>
              <w:rPr>
                <w:rFonts w:hint="eastAsia" w:hAnsi="宋体"/>
                <w:color w:val="000000"/>
                <w:spacing w:val="-6"/>
                <w:kern w:val="0"/>
                <w:sz w:val="18"/>
                <w:szCs w:val="18"/>
              </w:rPr>
              <w:t>省、市造价管理机构提供）。</w:t>
            </w:r>
          </w:p>
          <w:p>
            <w:pPr>
              <w:widowControl/>
              <w:spacing w:line="240" w:lineRule="exact"/>
              <w:ind w:left="-63" w:leftChars="-30" w:right="-63" w:rightChars="-30"/>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、注册造价师人数（由信用评价系统从省造价总站咨询企业监管系统自动提取）。</w:t>
            </w:r>
          </w:p>
          <w:p>
            <w:pPr>
              <w:widowControl/>
              <w:spacing w:line="240" w:lineRule="exact"/>
              <w:ind w:left="-63" w:leftChars="-30" w:right="-63" w:rightChars="-30"/>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、其它资质条件（现场考核）。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、企业资质不符合条件，</w:t>
            </w: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w:t>
            </w:r>
            <w:r>
              <w:rPr>
                <w:color w:val="000000"/>
                <w:spacing w:val="-6"/>
                <w:kern w:val="0"/>
                <w:sz w:val="18"/>
                <w:szCs w:val="18"/>
              </w:rPr>
              <w:t>2020</w:t>
            </w:r>
            <w:r>
              <w:rPr>
                <w:rFonts w:hint="eastAsia" w:hAnsi="宋体"/>
                <w:color w:val="000000"/>
                <w:spacing w:val="-6"/>
                <w:kern w:val="0"/>
                <w:sz w:val="18"/>
                <w:szCs w:val="18"/>
              </w:rPr>
              <w:t>年期间被省市建设主管部门、省市造价管理机构下达通知书责令整改的，每起计减</w:t>
            </w:r>
            <w:r>
              <w:rPr>
                <w:color w:val="000000"/>
                <w:spacing w:val="-6"/>
                <w:kern w:val="0"/>
                <w:sz w:val="18"/>
                <w:szCs w:val="18"/>
              </w:rPr>
              <w:t>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3</w:t>
            </w:r>
          </w:p>
        </w:tc>
        <w:tc>
          <w:tcPr>
            <w:tcW w:w="772" w:type="dxa"/>
            <w:vMerge w:val="restart"/>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造价师</w:t>
            </w:r>
          </w:p>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注册管理</w:t>
            </w:r>
          </w:p>
        </w:tc>
        <w:tc>
          <w:tcPr>
            <w:tcW w:w="5960" w:type="dxa"/>
            <w:vAlign w:val="center"/>
          </w:tcPr>
          <w:p>
            <w:pPr>
              <w:widowControl/>
              <w:spacing w:line="240" w:lineRule="exact"/>
              <w:ind w:left="-30" w:right="-63" w:rightChars="-30"/>
              <w:rPr>
                <w:color w:val="000000"/>
                <w:spacing w:val="-6"/>
                <w:kern w:val="0"/>
                <w:sz w:val="18"/>
                <w:szCs w:val="18"/>
              </w:rPr>
            </w:pPr>
            <w:r>
              <w:rPr>
                <w:color w:val="000000"/>
                <w:spacing w:val="-6"/>
                <w:kern w:val="0"/>
                <w:sz w:val="18"/>
                <w:szCs w:val="18"/>
              </w:rPr>
              <w:t>2020</w:t>
            </w:r>
            <w:r>
              <w:rPr>
                <w:rFonts w:hint="eastAsia" w:hAnsi="宋体"/>
                <w:color w:val="000000"/>
                <w:spacing w:val="-6"/>
                <w:kern w:val="0"/>
                <w:sz w:val="18"/>
                <w:szCs w:val="18"/>
              </w:rPr>
              <w:t>年企业注册造价师总人数</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人。其中：</w:t>
            </w:r>
          </w:p>
          <w:p>
            <w:pPr>
              <w:widowControl/>
              <w:spacing w:line="240" w:lineRule="exact"/>
              <w:ind w:left="-30" w:right="-63" w:rightChars="-30"/>
              <w:rPr>
                <w:color w:val="000000"/>
                <w:spacing w:val="-6"/>
                <w:kern w:val="0"/>
                <w:sz w:val="18"/>
                <w:szCs w:val="18"/>
              </w:rPr>
            </w:pPr>
            <w:r>
              <w:rPr>
                <w:color w:val="000000"/>
                <w:spacing w:val="-6"/>
                <w:kern w:val="0"/>
                <w:sz w:val="18"/>
                <w:szCs w:val="18"/>
              </w:rPr>
              <w:t>2020</w:t>
            </w:r>
            <w:r>
              <w:rPr>
                <w:rFonts w:hint="eastAsia" w:hAnsi="宋体"/>
                <w:color w:val="000000"/>
                <w:spacing w:val="-6"/>
                <w:kern w:val="0"/>
                <w:sz w:val="18"/>
                <w:szCs w:val="18"/>
              </w:rPr>
              <w:t>年公司本部注册造价师人数</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人；</w:t>
            </w:r>
          </w:p>
          <w:p>
            <w:pPr>
              <w:widowControl/>
              <w:spacing w:line="240" w:lineRule="exact"/>
              <w:ind w:left="-30" w:right="-63" w:rightChars="-30"/>
              <w:rPr>
                <w:color w:val="000000"/>
                <w:spacing w:val="-6"/>
                <w:kern w:val="0"/>
                <w:sz w:val="18"/>
                <w:szCs w:val="18"/>
              </w:rPr>
            </w:pPr>
            <w:r>
              <w:rPr>
                <w:color w:val="000000"/>
                <w:spacing w:val="-6"/>
                <w:kern w:val="0"/>
                <w:sz w:val="18"/>
                <w:szCs w:val="18"/>
              </w:rPr>
              <w:t>2020</w:t>
            </w:r>
            <w:r>
              <w:rPr>
                <w:rFonts w:hint="eastAsia" w:hAnsi="宋体"/>
                <w:color w:val="000000"/>
                <w:spacing w:val="-6"/>
                <w:kern w:val="0"/>
                <w:sz w:val="18"/>
                <w:szCs w:val="18"/>
              </w:rPr>
              <w:t>年分公司合计注册造价师人数</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人。</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3</w:t>
            </w: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2</w:t>
            </w: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noWrap/>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、注册造价师人数不满足资质条件的，每缺</w:t>
            </w:r>
            <w:r>
              <w:rPr>
                <w:color w:val="000000"/>
                <w:spacing w:val="-6"/>
                <w:kern w:val="0"/>
                <w:sz w:val="18"/>
                <w:szCs w:val="18"/>
              </w:rPr>
              <w:t>1</w:t>
            </w:r>
            <w:r>
              <w:rPr>
                <w:rFonts w:hint="eastAsia" w:hAnsi="宋体"/>
                <w:color w:val="000000"/>
                <w:spacing w:val="-6"/>
                <w:kern w:val="0"/>
                <w:sz w:val="18"/>
                <w:szCs w:val="18"/>
              </w:rPr>
              <w:t>人计减</w:t>
            </w:r>
            <w:r>
              <w:rPr>
                <w:color w:val="000000"/>
                <w:spacing w:val="-6"/>
                <w:kern w:val="0"/>
                <w:sz w:val="18"/>
                <w:szCs w:val="18"/>
              </w:rPr>
              <w:t>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widowControl/>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noWrap/>
            <w:vAlign w:val="center"/>
          </w:tcPr>
          <w:p>
            <w:pPr>
              <w:widowControl/>
              <w:spacing w:line="240" w:lineRule="exact"/>
              <w:ind w:left="-30" w:right="-63" w:rightChars="-30"/>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、注册造价师人数在满足资质条件的基础上，每超过</w:t>
            </w:r>
            <w:r>
              <w:rPr>
                <w:color w:val="000000"/>
                <w:spacing w:val="-6"/>
                <w:kern w:val="0"/>
                <w:sz w:val="18"/>
                <w:szCs w:val="18"/>
              </w:rPr>
              <w:t>1</w:t>
            </w:r>
            <w:r>
              <w:rPr>
                <w:rFonts w:hint="eastAsia" w:hAnsi="宋体"/>
                <w:color w:val="000000"/>
                <w:spacing w:val="-6"/>
                <w:kern w:val="0"/>
                <w:sz w:val="18"/>
                <w:szCs w:val="18"/>
              </w:rPr>
              <w:t>人计加</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restart"/>
            <w:vAlign w:val="center"/>
          </w:tcPr>
          <w:p>
            <w:pPr>
              <w:widowControl/>
              <w:ind w:left="-63" w:leftChars="-30" w:right="-63" w:rightChars="-30"/>
              <w:rPr>
                <w:rFonts w:eastAsia="方正黑体_GBK"/>
                <w:color w:val="000000"/>
                <w:spacing w:val="-6"/>
                <w:kern w:val="0"/>
                <w:sz w:val="18"/>
                <w:szCs w:val="18"/>
              </w:rPr>
            </w:pPr>
            <w:r>
              <w:rPr>
                <w:rFonts w:hint="eastAsia" w:eastAsia="方正黑体_GBK"/>
                <w:color w:val="000000"/>
                <w:spacing w:val="-6"/>
                <w:kern w:val="0"/>
                <w:sz w:val="18"/>
                <w:szCs w:val="18"/>
              </w:rPr>
              <w:t>二、经营业绩信用评价</w:t>
            </w:r>
          </w:p>
        </w:tc>
        <w:tc>
          <w:tcPr>
            <w:tcW w:w="453" w:type="dxa"/>
            <w:vMerge w:val="restart"/>
            <w:noWrap/>
            <w:vAlign w:val="center"/>
          </w:tcPr>
          <w:p>
            <w:pPr>
              <w:widowControl/>
              <w:ind w:left="-63" w:leftChars="-30" w:right="-63" w:rightChars="-30"/>
              <w:jc w:val="center"/>
              <w:rPr>
                <w:b/>
                <w:bCs/>
                <w:color w:val="000000"/>
                <w:spacing w:val="-6"/>
                <w:kern w:val="0"/>
                <w:sz w:val="18"/>
                <w:szCs w:val="18"/>
              </w:rPr>
            </w:pPr>
            <w:r>
              <w:rPr>
                <w:b/>
                <w:bCs/>
                <w:color w:val="000000"/>
                <w:spacing w:val="-6"/>
                <w:kern w:val="0"/>
                <w:sz w:val="18"/>
                <w:szCs w:val="18"/>
              </w:rPr>
              <w:t>1</w:t>
            </w:r>
          </w:p>
        </w:tc>
        <w:tc>
          <w:tcPr>
            <w:tcW w:w="772" w:type="dxa"/>
            <w:vMerge w:val="restart"/>
            <w:noWrap/>
            <w:vAlign w:val="center"/>
          </w:tcPr>
          <w:p>
            <w:pPr>
              <w:widowControl/>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经营收入</w:t>
            </w:r>
          </w:p>
        </w:tc>
        <w:tc>
          <w:tcPr>
            <w:tcW w:w="5960" w:type="dxa"/>
            <w:noWrap/>
            <w:vAlign w:val="center"/>
          </w:tcPr>
          <w:p>
            <w:pPr>
              <w:widowControl/>
              <w:ind w:right="-63" w:rightChars="-30"/>
              <w:rPr>
                <w:color w:val="000000"/>
                <w:spacing w:val="-6"/>
                <w:kern w:val="0"/>
                <w:sz w:val="18"/>
                <w:szCs w:val="18"/>
              </w:rPr>
            </w:pPr>
            <w:r>
              <w:rPr>
                <w:rFonts w:hint="eastAsia" w:hAnsi="宋体"/>
                <w:color w:val="000000"/>
                <w:spacing w:val="-6"/>
                <w:kern w:val="0"/>
                <w:sz w:val="18"/>
                <w:szCs w:val="18"/>
              </w:rPr>
              <w:t>企业</w:t>
            </w: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营业收入合计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502" w:type="dxa"/>
            <w:vMerge w:val="restart"/>
            <w:noWrap/>
            <w:vAlign w:val="center"/>
          </w:tcPr>
          <w:p>
            <w:pPr>
              <w:widowControl/>
              <w:ind w:left="-63" w:leftChars="-30" w:right="-63" w:rightChars="-30"/>
              <w:jc w:val="center"/>
              <w:rPr>
                <w:color w:val="000000"/>
                <w:spacing w:val="-6"/>
                <w:kern w:val="0"/>
                <w:sz w:val="18"/>
                <w:szCs w:val="18"/>
              </w:rPr>
            </w:pPr>
            <w:r>
              <w:rPr>
                <w:color w:val="000000"/>
                <w:spacing w:val="-6"/>
                <w:kern w:val="0"/>
                <w:sz w:val="18"/>
                <w:szCs w:val="18"/>
              </w:rPr>
              <w:t>—</w:t>
            </w:r>
          </w:p>
        </w:tc>
        <w:tc>
          <w:tcPr>
            <w:tcW w:w="540"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ind w:left="-63" w:leftChars="-30" w:right="-63" w:rightChars="-30"/>
              <w:jc w:val="center"/>
              <w:rPr>
                <w:color w:val="000000"/>
                <w:spacing w:val="-6"/>
                <w:kern w:val="0"/>
                <w:sz w:val="18"/>
                <w:szCs w:val="18"/>
              </w:rPr>
            </w:pPr>
            <w:r>
              <w:rPr>
                <w:color w:val="000000"/>
                <w:spacing w:val="-6"/>
                <w:kern w:val="0"/>
                <w:sz w:val="18"/>
                <w:szCs w:val="18"/>
              </w:rPr>
              <w:t>2</w:t>
            </w:r>
          </w:p>
        </w:tc>
        <w:tc>
          <w:tcPr>
            <w:tcW w:w="554" w:type="dxa"/>
            <w:vMerge w:val="restart"/>
            <w:noWrap/>
            <w:vAlign w:val="center"/>
          </w:tcPr>
          <w:p>
            <w:pPr>
              <w:widowControl/>
              <w:ind w:left="-63" w:leftChars="-30" w:right="-63" w:rightChars="-30"/>
              <w:jc w:val="center"/>
              <w:rPr>
                <w:color w:val="000000"/>
                <w:spacing w:val="-6"/>
                <w:kern w:val="0"/>
                <w:sz w:val="18"/>
                <w:szCs w:val="18"/>
              </w:rPr>
            </w:pPr>
            <w:r>
              <w:rPr>
                <w:color w:val="000000"/>
                <w:spacing w:val="-6"/>
                <w:kern w:val="0"/>
                <w:sz w:val="18"/>
                <w:szCs w:val="18"/>
              </w:rPr>
              <w:t>—</w:t>
            </w:r>
          </w:p>
        </w:tc>
        <w:tc>
          <w:tcPr>
            <w:tcW w:w="541"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ind w:left="-63" w:leftChars="-30" w:right="-63" w:rightChars="-30"/>
              <w:jc w:val="center"/>
              <w:rPr>
                <w:color w:val="000000"/>
                <w:spacing w:val="-6"/>
                <w:kern w:val="0"/>
                <w:sz w:val="18"/>
                <w:szCs w:val="18"/>
              </w:rPr>
            </w:pPr>
          </w:p>
        </w:tc>
        <w:tc>
          <w:tcPr>
            <w:tcW w:w="606" w:type="dxa"/>
            <w:vMerge w:val="restart"/>
            <w:noWrap/>
            <w:vAlign w:val="center"/>
          </w:tcPr>
          <w:p>
            <w:pPr>
              <w:widowControl/>
              <w:ind w:left="-63" w:leftChars="-30" w:right="-63" w:rightChars="-30"/>
              <w:jc w:val="center"/>
              <w:rPr>
                <w:color w:val="000000"/>
                <w:spacing w:val="-6"/>
                <w:kern w:val="0"/>
                <w:sz w:val="18"/>
                <w:szCs w:val="18"/>
              </w:rPr>
            </w:pPr>
          </w:p>
        </w:tc>
        <w:tc>
          <w:tcPr>
            <w:tcW w:w="3214" w:type="dxa"/>
            <w:vMerge w:val="restart"/>
            <w:vAlign w:val="center"/>
          </w:tcPr>
          <w:p>
            <w:pPr>
              <w:widowControl/>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营业收入合计</w:t>
            </w:r>
            <w:r>
              <w:rPr>
                <w:rFonts w:hint="eastAsia"/>
                <w:color w:val="000000"/>
                <w:spacing w:val="-6"/>
                <w:kern w:val="0"/>
                <w:sz w:val="18"/>
                <w:szCs w:val="18"/>
              </w:rPr>
              <w:t>”</w:t>
            </w:r>
            <w:r>
              <w:rPr>
                <w:rFonts w:hint="eastAsia" w:hAnsi="宋体"/>
                <w:color w:val="000000"/>
                <w:spacing w:val="-6"/>
                <w:kern w:val="0"/>
                <w:sz w:val="18"/>
                <w:szCs w:val="18"/>
              </w:rPr>
              <w:t>：根据国家</w:t>
            </w:r>
            <w:r>
              <w:rPr>
                <w:rFonts w:hint="eastAsia"/>
                <w:color w:val="000000"/>
                <w:spacing w:val="-6"/>
                <w:kern w:val="0"/>
                <w:sz w:val="18"/>
                <w:szCs w:val="18"/>
              </w:rPr>
              <w:t>“</w:t>
            </w:r>
            <w:r>
              <w:rPr>
                <w:rFonts w:hint="eastAsia" w:hAnsi="宋体"/>
                <w:color w:val="000000"/>
                <w:spacing w:val="-6"/>
                <w:kern w:val="0"/>
                <w:sz w:val="18"/>
                <w:szCs w:val="18"/>
              </w:rPr>
              <w:t>工程造价咨询统计报表制度</w:t>
            </w:r>
            <w:r>
              <w:rPr>
                <w:rFonts w:hint="eastAsia"/>
                <w:color w:val="000000"/>
                <w:spacing w:val="-6"/>
                <w:kern w:val="0"/>
                <w:sz w:val="18"/>
                <w:szCs w:val="18"/>
              </w:rPr>
              <w:t>”</w:t>
            </w:r>
            <w:r>
              <w:rPr>
                <w:color w:val="000000"/>
                <w:spacing w:val="-6"/>
                <w:kern w:val="0"/>
                <w:sz w:val="18"/>
                <w:szCs w:val="18"/>
              </w:rPr>
              <w:t>,</w:t>
            </w:r>
            <w:r>
              <w:rPr>
                <w:rFonts w:hint="eastAsia" w:hAnsi="宋体"/>
                <w:color w:val="000000"/>
                <w:spacing w:val="-6"/>
                <w:kern w:val="0"/>
                <w:sz w:val="18"/>
                <w:szCs w:val="18"/>
              </w:rPr>
              <w:t>由信用评价系统从造价咨询企业年度统计报表</w:t>
            </w:r>
            <w:r>
              <w:rPr>
                <w:color w:val="000000"/>
                <w:spacing w:val="-6"/>
                <w:kern w:val="0"/>
                <w:sz w:val="18"/>
                <w:szCs w:val="18"/>
              </w:rPr>
              <w:t>4</w:t>
            </w:r>
            <w:r>
              <w:rPr>
                <w:rFonts w:hint="eastAsia" w:hAnsi="宋体"/>
                <w:color w:val="000000"/>
                <w:spacing w:val="-6"/>
                <w:kern w:val="0"/>
                <w:sz w:val="18"/>
                <w:szCs w:val="18"/>
              </w:rPr>
              <w:t>中提取数据，不需企业填写。</w:t>
            </w:r>
          </w:p>
          <w:p>
            <w:pPr>
              <w:widowControl/>
              <w:ind w:left="-63" w:leftChars="-30" w:right="-63" w:rightChars="-30"/>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、企业两年平均</w:t>
            </w:r>
            <w:r>
              <w:rPr>
                <w:rFonts w:hint="eastAsia"/>
                <w:color w:val="000000"/>
                <w:spacing w:val="-6"/>
                <w:kern w:val="0"/>
                <w:sz w:val="18"/>
                <w:szCs w:val="18"/>
              </w:rPr>
              <w:t>“</w:t>
            </w:r>
            <w:r>
              <w:rPr>
                <w:rFonts w:hint="eastAsia" w:hAnsi="宋体"/>
                <w:color w:val="000000"/>
                <w:spacing w:val="-6"/>
                <w:kern w:val="0"/>
                <w:sz w:val="18"/>
                <w:szCs w:val="18"/>
              </w:rPr>
              <w:t>营业收入合计</w:t>
            </w:r>
            <w:r>
              <w:rPr>
                <w:rFonts w:hint="eastAsia"/>
                <w:color w:val="000000"/>
                <w:spacing w:val="-6"/>
                <w:kern w:val="0"/>
                <w:sz w:val="18"/>
                <w:szCs w:val="18"/>
              </w:rPr>
              <w:t>”</w:t>
            </w:r>
            <w:r>
              <w:rPr>
                <w:rFonts w:hint="eastAsia" w:hAnsi="宋体"/>
                <w:color w:val="000000"/>
                <w:spacing w:val="-6"/>
                <w:kern w:val="0"/>
                <w:sz w:val="18"/>
                <w:szCs w:val="18"/>
              </w:rPr>
              <w:t>为算术平均值，四舍五入保留小数点后两位小数，由信用评价系统自动生成，不需企业填写。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widowControl/>
              <w:ind w:left="-63" w:leftChars="-30" w:right="-63" w:rightChars="-30"/>
              <w:rPr>
                <w:rFonts w:eastAsia="方正黑体_GBK"/>
                <w:color w:val="000000"/>
                <w:spacing w:val="-6"/>
                <w:kern w:val="0"/>
                <w:sz w:val="18"/>
                <w:szCs w:val="18"/>
              </w:rPr>
            </w:pPr>
          </w:p>
        </w:tc>
        <w:tc>
          <w:tcPr>
            <w:tcW w:w="453" w:type="dxa"/>
            <w:vMerge w:val="continue"/>
            <w:vAlign w:val="center"/>
          </w:tcPr>
          <w:p>
            <w:pPr>
              <w:widowControl/>
              <w:ind w:left="-63" w:leftChars="-30" w:right="-63" w:rightChars="-30"/>
              <w:jc w:val="center"/>
              <w:rPr>
                <w:b/>
                <w:bCs/>
                <w:color w:val="000000"/>
                <w:spacing w:val="-6"/>
                <w:kern w:val="0"/>
                <w:sz w:val="18"/>
                <w:szCs w:val="18"/>
              </w:rPr>
            </w:pPr>
          </w:p>
        </w:tc>
        <w:tc>
          <w:tcPr>
            <w:tcW w:w="772" w:type="dxa"/>
            <w:vMerge w:val="continue"/>
            <w:vAlign w:val="center"/>
          </w:tcPr>
          <w:p>
            <w:pPr>
              <w:widowControl/>
              <w:ind w:left="-63" w:leftChars="-30" w:right="-63" w:rightChars="-30"/>
              <w:jc w:val="left"/>
              <w:rPr>
                <w:b/>
                <w:bCs/>
                <w:color w:val="000000"/>
                <w:spacing w:val="-6"/>
                <w:kern w:val="0"/>
                <w:sz w:val="18"/>
                <w:szCs w:val="18"/>
              </w:rPr>
            </w:pPr>
          </w:p>
        </w:tc>
        <w:tc>
          <w:tcPr>
            <w:tcW w:w="5960" w:type="dxa"/>
            <w:noWrap/>
            <w:vAlign w:val="center"/>
          </w:tcPr>
          <w:p>
            <w:pPr>
              <w:widowControl/>
              <w:ind w:right="-63" w:rightChars="-30"/>
              <w:rPr>
                <w:color w:val="000000"/>
                <w:spacing w:val="-6"/>
                <w:kern w:val="0"/>
                <w:sz w:val="18"/>
                <w:szCs w:val="18"/>
              </w:rPr>
            </w:pPr>
            <w:r>
              <w:rPr>
                <w:rFonts w:hint="eastAsia" w:hAnsi="宋体"/>
                <w:color w:val="000000"/>
                <w:spacing w:val="-6"/>
                <w:kern w:val="0"/>
                <w:sz w:val="18"/>
                <w:szCs w:val="18"/>
              </w:rPr>
              <w:t>企业</w:t>
            </w: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营业收入合计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502" w:type="dxa"/>
            <w:vMerge w:val="continue"/>
            <w:vAlign w:val="center"/>
          </w:tcPr>
          <w:p>
            <w:pPr>
              <w:widowControl/>
              <w:ind w:left="-63" w:leftChars="-30" w:right="-63" w:rightChars="-30"/>
              <w:jc w:val="center"/>
              <w:rPr>
                <w:color w:val="000000"/>
                <w:spacing w:val="-6"/>
                <w:kern w:val="0"/>
                <w:sz w:val="18"/>
                <w:szCs w:val="18"/>
              </w:rPr>
            </w:pPr>
          </w:p>
        </w:tc>
        <w:tc>
          <w:tcPr>
            <w:tcW w:w="540" w:type="dxa"/>
            <w:vMerge w:val="continue"/>
            <w:vAlign w:val="center"/>
          </w:tcPr>
          <w:p>
            <w:pPr>
              <w:widowControl/>
              <w:ind w:left="-63" w:leftChars="-30" w:right="-63" w:rightChars="-30"/>
              <w:jc w:val="center"/>
              <w:rPr>
                <w:color w:val="000000"/>
                <w:spacing w:val="-6"/>
                <w:kern w:val="0"/>
                <w:sz w:val="18"/>
                <w:szCs w:val="18"/>
              </w:rPr>
            </w:pPr>
          </w:p>
        </w:tc>
        <w:tc>
          <w:tcPr>
            <w:tcW w:w="438" w:type="dxa"/>
            <w:vMerge w:val="continue"/>
            <w:vAlign w:val="center"/>
          </w:tcPr>
          <w:p>
            <w:pPr>
              <w:widowControl/>
              <w:ind w:left="-63" w:leftChars="-30" w:right="-63" w:rightChars="-30"/>
              <w:jc w:val="center"/>
              <w:rPr>
                <w:color w:val="000000"/>
                <w:spacing w:val="-6"/>
                <w:kern w:val="0"/>
                <w:sz w:val="18"/>
                <w:szCs w:val="18"/>
              </w:rPr>
            </w:pPr>
          </w:p>
        </w:tc>
        <w:tc>
          <w:tcPr>
            <w:tcW w:w="554" w:type="dxa"/>
            <w:vMerge w:val="continue"/>
            <w:vAlign w:val="center"/>
          </w:tcPr>
          <w:p>
            <w:pPr>
              <w:widowControl/>
              <w:ind w:left="-63" w:leftChars="-30" w:right="-63" w:rightChars="-30"/>
              <w:jc w:val="center"/>
              <w:rPr>
                <w:color w:val="000000"/>
                <w:spacing w:val="-6"/>
                <w:kern w:val="0"/>
                <w:sz w:val="18"/>
                <w:szCs w:val="18"/>
              </w:rPr>
            </w:pPr>
          </w:p>
        </w:tc>
        <w:tc>
          <w:tcPr>
            <w:tcW w:w="541" w:type="dxa"/>
            <w:vMerge w:val="continue"/>
            <w:vAlign w:val="center"/>
          </w:tcPr>
          <w:p>
            <w:pPr>
              <w:widowControl/>
              <w:ind w:left="-63" w:leftChars="-30" w:right="-63" w:rightChars="-30"/>
              <w:jc w:val="center"/>
              <w:rPr>
                <w:color w:val="000000"/>
                <w:spacing w:val="-6"/>
                <w:kern w:val="0"/>
                <w:sz w:val="18"/>
                <w:szCs w:val="18"/>
              </w:rPr>
            </w:pPr>
          </w:p>
        </w:tc>
        <w:tc>
          <w:tcPr>
            <w:tcW w:w="509" w:type="dxa"/>
            <w:vMerge w:val="continue"/>
            <w:vAlign w:val="center"/>
          </w:tcPr>
          <w:p>
            <w:pPr>
              <w:widowControl/>
              <w:ind w:left="-63" w:leftChars="-30" w:right="-63" w:rightChars="-30"/>
              <w:jc w:val="center"/>
              <w:rPr>
                <w:color w:val="000000"/>
                <w:spacing w:val="-6"/>
                <w:kern w:val="0"/>
                <w:sz w:val="18"/>
                <w:szCs w:val="18"/>
              </w:rPr>
            </w:pPr>
          </w:p>
        </w:tc>
        <w:tc>
          <w:tcPr>
            <w:tcW w:w="606" w:type="dxa"/>
            <w:vMerge w:val="continue"/>
            <w:vAlign w:val="center"/>
          </w:tcPr>
          <w:p>
            <w:pPr>
              <w:widowControl/>
              <w:ind w:left="-63" w:leftChars="-30" w:right="-63" w:rightChars="-30"/>
              <w:jc w:val="center"/>
              <w:rPr>
                <w:color w:val="000000"/>
                <w:spacing w:val="-6"/>
                <w:kern w:val="0"/>
                <w:sz w:val="18"/>
                <w:szCs w:val="18"/>
              </w:rPr>
            </w:pPr>
          </w:p>
        </w:tc>
        <w:tc>
          <w:tcPr>
            <w:tcW w:w="3214" w:type="dxa"/>
            <w:vMerge w:val="continue"/>
            <w:vAlign w:val="center"/>
          </w:tcPr>
          <w:p>
            <w:pPr>
              <w:widowControl/>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widowControl/>
              <w:ind w:left="-63" w:leftChars="-30" w:right="-63" w:rightChars="-30"/>
              <w:rPr>
                <w:rFonts w:eastAsia="方正黑体_GBK"/>
                <w:color w:val="000000"/>
                <w:spacing w:val="-6"/>
                <w:kern w:val="0"/>
                <w:sz w:val="18"/>
                <w:szCs w:val="18"/>
              </w:rPr>
            </w:pPr>
          </w:p>
        </w:tc>
        <w:tc>
          <w:tcPr>
            <w:tcW w:w="453" w:type="dxa"/>
            <w:vMerge w:val="continue"/>
            <w:vAlign w:val="center"/>
          </w:tcPr>
          <w:p>
            <w:pPr>
              <w:widowControl/>
              <w:ind w:left="-63" w:leftChars="-30" w:right="-63" w:rightChars="-30"/>
              <w:jc w:val="center"/>
              <w:rPr>
                <w:b/>
                <w:bCs/>
                <w:color w:val="000000"/>
                <w:spacing w:val="-6"/>
                <w:kern w:val="0"/>
                <w:sz w:val="18"/>
                <w:szCs w:val="18"/>
              </w:rPr>
            </w:pPr>
          </w:p>
        </w:tc>
        <w:tc>
          <w:tcPr>
            <w:tcW w:w="772" w:type="dxa"/>
            <w:vMerge w:val="continue"/>
            <w:vAlign w:val="center"/>
          </w:tcPr>
          <w:p>
            <w:pPr>
              <w:widowControl/>
              <w:ind w:left="-63" w:leftChars="-30" w:right="-63" w:rightChars="-30"/>
              <w:jc w:val="left"/>
              <w:rPr>
                <w:b/>
                <w:bCs/>
                <w:color w:val="000000"/>
                <w:spacing w:val="-6"/>
                <w:kern w:val="0"/>
                <w:sz w:val="18"/>
                <w:szCs w:val="18"/>
              </w:rPr>
            </w:pPr>
          </w:p>
        </w:tc>
        <w:tc>
          <w:tcPr>
            <w:tcW w:w="5960" w:type="dxa"/>
            <w:vAlign w:val="center"/>
          </w:tcPr>
          <w:p>
            <w:pPr>
              <w:widowControl/>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营业收入合计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502" w:type="dxa"/>
            <w:vMerge w:val="continue"/>
            <w:vAlign w:val="center"/>
          </w:tcPr>
          <w:p>
            <w:pPr>
              <w:widowControl/>
              <w:ind w:left="-63" w:leftChars="-30" w:right="-63" w:rightChars="-30"/>
              <w:jc w:val="center"/>
              <w:rPr>
                <w:color w:val="000000"/>
                <w:spacing w:val="-6"/>
                <w:kern w:val="0"/>
                <w:sz w:val="18"/>
                <w:szCs w:val="18"/>
              </w:rPr>
            </w:pPr>
          </w:p>
        </w:tc>
        <w:tc>
          <w:tcPr>
            <w:tcW w:w="540" w:type="dxa"/>
            <w:vMerge w:val="continue"/>
            <w:vAlign w:val="center"/>
          </w:tcPr>
          <w:p>
            <w:pPr>
              <w:widowControl/>
              <w:ind w:left="-63" w:leftChars="-30" w:right="-63" w:rightChars="-30"/>
              <w:jc w:val="center"/>
              <w:rPr>
                <w:color w:val="000000"/>
                <w:spacing w:val="-6"/>
                <w:kern w:val="0"/>
                <w:sz w:val="18"/>
                <w:szCs w:val="18"/>
              </w:rPr>
            </w:pPr>
          </w:p>
        </w:tc>
        <w:tc>
          <w:tcPr>
            <w:tcW w:w="438" w:type="dxa"/>
            <w:vMerge w:val="continue"/>
            <w:vAlign w:val="center"/>
          </w:tcPr>
          <w:p>
            <w:pPr>
              <w:widowControl/>
              <w:ind w:left="-63" w:leftChars="-30" w:right="-63" w:rightChars="-30"/>
              <w:jc w:val="center"/>
              <w:rPr>
                <w:color w:val="000000"/>
                <w:spacing w:val="-6"/>
                <w:kern w:val="0"/>
                <w:sz w:val="18"/>
                <w:szCs w:val="18"/>
              </w:rPr>
            </w:pPr>
          </w:p>
        </w:tc>
        <w:tc>
          <w:tcPr>
            <w:tcW w:w="554" w:type="dxa"/>
            <w:vMerge w:val="continue"/>
            <w:vAlign w:val="center"/>
          </w:tcPr>
          <w:p>
            <w:pPr>
              <w:widowControl/>
              <w:ind w:left="-63" w:leftChars="-30" w:right="-63" w:rightChars="-30"/>
              <w:jc w:val="center"/>
              <w:rPr>
                <w:color w:val="000000"/>
                <w:spacing w:val="-6"/>
                <w:kern w:val="0"/>
                <w:sz w:val="18"/>
                <w:szCs w:val="18"/>
              </w:rPr>
            </w:pPr>
          </w:p>
        </w:tc>
        <w:tc>
          <w:tcPr>
            <w:tcW w:w="541" w:type="dxa"/>
            <w:vMerge w:val="continue"/>
            <w:vAlign w:val="center"/>
          </w:tcPr>
          <w:p>
            <w:pPr>
              <w:widowControl/>
              <w:ind w:left="-63" w:leftChars="-30" w:right="-63" w:rightChars="-30"/>
              <w:jc w:val="center"/>
              <w:rPr>
                <w:color w:val="000000"/>
                <w:spacing w:val="-6"/>
                <w:kern w:val="0"/>
                <w:sz w:val="18"/>
                <w:szCs w:val="18"/>
              </w:rPr>
            </w:pPr>
          </w:p>
        </w:tc>
        <w:tc>
          <w:tcPr>
            <w:tcW w:w="509" w:type="dxa"/>
            <w:vMerge w:val="continue"/>
            <w:vAlign w:val="center"/>
          </w:tcPr>
          <w:p>
            <w:pPr>
              <w:widowControl/>
              <w:ind w:left="-63" w:leftChars="-30" w:right="-63" w:rightChars="-30"/>
              <w:jc w:val="center"/>
              <w:rPr>
                <w:color w:val="000000"/>
                <w:spacing w:val="-6"/>
                <w:kern w:val="0"/>
                <w:sz w:val="18"/>
                <w:szCs w:val="18"/>
              </w:rPr>
            </w:pPr>
          </w:p>
        </w:tc>
        <w:tc>
          <w:tcPr>
            <w:tcW w:w="606" w:type="dxa"/>
            <w:vMerge w:val="continue"/>
            <w:vAlign w:val="center"/>
          </w:tcPr>
          <w:p>
            <w:pPr>
              <w:widowControl/>
              <w:ind w:left="-63" w:leftChars="-30" w:right="-63" w:rightChars="-30"/>
              <w:jc w:val="center"/>
              <w:rPr>
                <w:color w:val="000000"/>
                <w:spacing w:val="-6"/>
                <w:kern w:val="0"/>
                <w:sz w:val="18"/>
                <w:szCs w:val="18"/>
              </w:rPr>
            </w:pPr>
          </w:p>
        </w:tc>
        <w:tc>
          <w:tcPr>
            <w:tcW w:w="3214" w:type="dxa"/>
            <w:vMerge w:val="continue"/>
            <w:vAlign w:val="center"/>
          </w:tcPr>
          <w:p>
            <w:pPr>
              <w:widowControl/>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widowControl/>
              <w:ind w:left="-63" w:leftChars="-30" w:right="-63" w:rightChars="-30"/>
              <w:rPr>
                <w:rFonts w:eastAsia="方正黑体_GBK"/>
                <w:color w:val="000000"/>
                <w:spacing w:val="-6"/>
                <w:kern w:val="0"/>
                <w:sz w:val="18"/>
                <w:szCs w:val="18"/>
              </w:rPr>
            </w:pPr>
          </w:p>
        </w:tc>
        <w:tc>
          <w:tcPr>
            <w:tcW w:w="453" w:type="dxa"/>
            <w:vMerge w:val="continue"/>
            <w:vAlign w:val="center"/>
          </w:tcPr>
          <w:p>
            <w:pPr>
              <w:widowControl/>
              <w:ind w:left="-63" w:leftChars="-30" w:right="-63" w:rightChars="-30"/>
              <w:jc w:val="center"/>
              <w:rPr>
                <w:b/>
                <w:bCs/>
                <w:color w:val="000000"/>
                <w:spacing w:val="-6"/>
                <w:kern w:val="0"/>
                <w:sz w:val="18"/>
                <w:szCs w:val="18"/>
              </w:rPr>
            </w:pPr>
          </w:p>
        </w:tc>
        <w:tc>
          <w:tcPr>
            <w:tcW w:w="772" w:type="dxa"/>
            <w:vMerge w:val="continue"/>
            <w:vAlign w:val="center"/>
          </w:tcPr>
          <w:p>
            <w:pPr>
              <w:widowControl/>
              <w:ind w:left="-63" w:leftChars="-30" w:right="-63" w:rightChars="-30"/>
              <w:jc w:val="left"/>
              <w:rPr>
                <w:b/>
                <w:bCs/>
                <w:color w:val="000000"/>
                <w:spacing w:val="-6"/>
                <w:kern w:val="0"/>
                <w:sz w:val="18"/>
                <w:szCs w:val="18"/>
              </w:rPr>
            </w:pPr>
          </w:p>
        </w:tc>
        <w:tc>
          <w:tcPr>
            <w:tcW w:w="5960" w:type="dxa"/>
            <w:vAlign w:val="center"/>
          </w:tcPr>
          <w:p>
            <w:pPr>
              <w:widowControl/>
              <w:ind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、甲级造价咨询企业两年平均“营业收入合计”达到或超过</w:t>
            </w:r>
            <w:r>
              <w:rPr>
                <w:color w:val="000000"/>
                <w:spacing w:val="-6"/>
                <w:kern w:val="0"/>
                <w:sz w:val="18"/>
                <w:szCs w:val="18"/>
              </w:rPr>
              <w:t>1000</w:t>
            </w:r>
            <w:r>
              <w:rPr>
                <w:rFonts w:hint="eastAsia" w:hAnsi="宋体"/>
                <w:color w:val="000000"/>
                <w:spacing w:val="-6"/>
                <w:kern w:val="0"/>
                <w:sz w:val="18"/>
                <w:szCs w:val="18"/>
              </w:rPr>
              <w:t>万元的，每超过</w:t>
            </w:r>
            <w:r>
              <w:rPr>
                <w:color w:val="000000"/>
                <w:spacing w:val="-6"/>
                <w:kern w:val="0"/>
                <w:sz w:val="18"/>
                <w:szCs w:val="18"/>
              </w:rPr>
              <w:t>300</w:t>
            </w:r>
            <w:r>
              <w:rPr>
                <w:rFonts w:hint="eastAsia" w:hAnsi="宋体"/>
                <w:color w:val="000000"/>
                <w:spacing w:val="-6"/>
                <w:kern w:val="0"/>
                <w:sz w:val="18"/>
                <w:szCs w:val="18"/>
              </w:rPr>
              <w:t>万元计加</w:t>
            </w:r>
            <w:r>
              <w:rPr>
                <w:color w:val="000000"/>
                <w:spacing w:val="-6"/>
                <w:kern w:val="0"/>
                <w:sz w:val="18"/>
                <w:szCs w:val="18"/>
              </w:rPr>
              <w:t>0.2</w:t>
            </w:r>
            <w:r>
              <w:rPr>
                <w:rFonts w:hint="eastAsia" w:hAnsi="宋体"/>
                <w:color w:val="000000"/>
                <w:spacing w:val="-6"/>
                <w:kern w:val="0"/>
                <w:sz w:val="18"/>
                <w:szCs w:val="18"/>
              </w:rPr>
              <w:t>分。加分分值计算公式：（</w:t>
            </w:r>
            <w:r>
              <w:rPr>
                <w:color w:val="000000"/>
                <w:spacing w:val="-6"/>
                <w:kern w:val="0"/>
                <w:sz w:val="18"/>
                <w:szCs w:val="18"/>
              </w:rPr>
              <w:t>X-1000</w:t>
            </w:r>
            <w:r>
              <w:rPr>
                <w:rFonts w:hint="eastAsia" w:hAnsi="宋体"/>
                <w:color w:val="000000"/>
                <w:spacing w:val="-6"/>
                <w:kern w:val="0"/>
                <w:sz w:val="18"/>
                <w:szCs w:val="18"/>
              </w:rPr>
              <w:t>）</w:t>
            </w:r>
            <w:r>
              <w:rPr>
                <w:color w:val="000000"/>
                <w:spacing w:val="-6"/>
                <w:kern w:val="0"/>
                <w:sz w:val="18"/>
                <w:szCs w:val="18"/>
              </w:rPr>
              <w:t>/300</w:t>
            </w:r>
            <w:r>
              <w:rPr>
                <w:rFonts w:ascii="Arial" w:hAnsi="Arial" w:cs="Arial"/>
                <w:color w:val="000000"/>
                <w:spacing w:val="-6"/>
                <w:kern w:val="0"/>
                <w:sz w:val="18"/>
                <w:szCs w:val="18"/>
              </w:rPr>
              <w:t>×</w:t>
            </w:r>
            <w:r>
              <w:rPr>
                <w:color w:val="000000"/>
                <w:spacing w:val="-6"/>
                <w:kern w:val="0"/>
                <w:sz w:val="18"/>
                <w:szCs w:val="18"/>
              </w:rPr>
              <w:t>0.2</w:t>
            </w:r>
            <w:r>
              <w:rPr>
                <w:rFonts w:hint="eastAsia" w:hAnsi="宋体"/>
                <w:color w:val="000000"/>
                <w:spacing w:val="-6"/>
                <w:kern w:val="0"/>
                <w:sz w:val="18"/>
                <w:szCs w:val="18"/>
              </w:rPr>
              <w:t>。</w:t>
            </w:r>
          </w:p>
        </w:tc>
        <w:tc>
          <w:tcPr>
            <w:tcW w:w="502" w:type="dxa"/>
            <w:noWrap/>
            <w:vAlign w:val="center"/>
          </w:tcPr>
          <w:p>
            <w:pPr>
              <w:widowControl/>
              <w:ind w:left="-63" w:leftChars="-30" w:right="-63" w:rightChars="-30"/>
              <w:jc w:val="center"/>
              <w:rPr>
                <w:color w:val="000000"/>
                <w:spacing w:val="-6"/>
                <w:kern w:val="0"/>
                <w:sz w:val="18"/>
                <w:szCs w:val="18"/>
              </w:rPr>
            </w:pPr>
          </w:p>
        </w:tc>
        <w:tc>
          <w:tcPr>
            <w:tcW w:w="540" w:type="dxa"/>
            <w:vAlign w:val="center"/>
          </w:tcPr>
          <w:p>
            <w:pPr>
              <w:widowControl/>
              <w:ind w:left="-63" w:leftChars="-30" w:right="-63" w:rightChars="-30"/>
              <w:jc w:val="center"/>
              <w:rPr>
                <w:color w:val="000000"/>
                <w:spacing w:val="-6"/>
                <w:kern w:val="0"/>
                <w:sz w:val="18"/>
                <w:szCs w:val="18"/>
              </w:rPr>
            </w:pPr>
          </w:p>
        </w:tc>
        <w:tc>
          <w:tcPr>
            <w:tcW w:w="438" w:type="dxa"/>
            <w:vMerge w:val="continue"/>
            <w:vAlign w:val="center"/>
          </w:tcPr>
          <w:p>
            <w:pPr>
              <w:widowControl/>
              <w:ind w:left="-63" w:leftChars="-30" w:right="-63" w:rightChars="-30"/>
              <w:jc w:val="center"/>
              <w:rPr>
                <w:color w:val="000000"/>
                <w:spacing w:val="-6"/>
                <w:kern w:val="0"/>
                <w:sz w:val="18"/>
                <w:szCs w:val="18"/>
              </w:rPr>
            </w:pPr>
          </w:p>
        </w:tc>
        <w:tc>
          <w:tcPr>
            <w:tcW w:w="554" w:type="dxa"/>
            <w:noWrap/>
            <w:vAlign w:val="center"/>
          </w:tcPr>
          <w:p>
            <w:pPr>
              <w:widowControl/>
              <w:ind w:left="-63" w:leftChars="-30" w:right="-63" w:rightChars="-30"/>
              <w:jc w:val="center"/>
              <w:rPr>
                <w:color w:val="000000"/>
                <w:spacing w:val="-6"/>
                <w:kern w:val="0"/>
                <w:sz w:val="18"/>
                <w:szCs w:val="18"/>
              </w:rPr>
            </w:pPr>
          </w:p>
        </w:tc>
        <w:tc>
          <w:tcPr>
            <w:tcW w:w="541" w:type="dxa"/>
            <w:vAlign w:val="center"/>
          </w:tcPr>
          <w:p>
            <w:pPr>
              <w:widowControl/>
              <w:ind w:left="-63" w:leftChars="-30" w:right="-63" w:rightChars="-30"/>
              <w:jc w:val="center"/>
              <w:rPr>
                <w:color w:val="000000"/>
                <w:spacing w:val="-6"/>
                <w:kern w:val="0"/>
                <w:sz w:val="18"/>
                <w:szCs w:val="18"/>
              </w:rPr>
            </w:pPr>
          </w:p>
        </w:tc>
        <w:tc>
          <w:tcPr>
            <w:tcW w:w="509" w:type="dxa"/>
            <w:vMerge w:val="continue"/>
            <w:vAlign w:val="center"/>
          </w:tcPr>
          <w:p>
            <w:pPr>
              <w:widowControl/>
              <w:ind w:left="-63" w:leftChars="-30" w:right="-63" w:rightChars="-30"/>
              <w:jc w:val="center"/>
              <w:rPr>
                <w:color w:val="000000"/>
                <w:spacing w:val="-6"/>
                <w:kern w:val="0"/>
                <w:sz w:val="18"/>
                <w:szCs w:val="18"/>
              </w:rPr>
            </w:pPr>
          </w:p>
        </w:tc>
        <w:tc>
          <w:tcPr>
            <w:tcW w:w="606" w:type="dxa"/>
            <w:vMerge w:val="continue"/>
            <w:vAlign w:val="center"/>
          </w:tcPr>
          <w:p>
            <w:pPr>
              <w:widowControl/>
              <w:ind w:left="-63" w:leftChars="-30" w:right="-63" w:rightChars="-30"/>
              <w:jc w:val="center"/>
              <w:rPr>
                <w:color w:val="000000"/>
                <w:spacing w:val="-6"/>
                <w:kern w:val="0"/>
                <w:sz w:val="18"/>
                <w:szCs w:val="18"/>
              </w:rPr>
            </w:pPr>
          </w:p>
        </w:tc>
        <w:tc>
          <w:tcPr>
            <w:tcW w:w="3214" w:type="dxa"/>
            <w:vMerge w:val="continue"/>
            <w:vAlign w:val="center"/>
          </w:tcPr>
          <w:p>
            <w:pPr>
              <w:widowControl/>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widowControl/>
              <w:ind w:left="-63" w:leftChars="-30" w:right="-63" w:rightChars="-30"/>
              <w:rPr>
                <w:rFonts w:eastAsia="方正黑体_GBK"/>
                <w:color w:val="000000"/>
                <w:spacing w:val="-6"/>
                <w:kern w:val="0"/>
                <w:sz w:val="18"/>
                <w:szCs w:val="18"/>
              </w:rPr>
            </w:pPr>
          </w:p>
        </w:tc>
        <w:tc>
          <w:tcPr>
            <w:tcW w:w="453" w:type="dxa"/>
            <w:vMerge w:val="continue"/>
            <w:vAlign w:val="center"/>
          </w:tcPr>
          <w:p>
            <w:pPr>
              <w:widowControl/>
              <w:ind w:left="-63" w:leftChars="-30" w:right="-63" w:rightChars="-30"/>
              <w:jc w:val="center"/>
              <w:rPr>
                <w:b/>
                <w:bCs/>
                <w:color w:val="000000"/>
                <w:spacing w:val="-6"/>
                <w:kern w:val="0"/>
                <w:sz w:val="18"/>
                <w:szCs w:val="18"/>
              </w:rPr>
            </w:pPr>
          </w:p>
        </w:tc>
        <w:tc>
          <w:tcPr>
            <w:tcW w:w="772" w:type="dxa"/>
            <w:vMerge w:val="continue"/>
            <w:vAlign w:val="center"/>
          </w:tcPr>
          <w:p>
            <w:pPr>
              <w:widowControl/>
              <w:ind w:left="-63" w:leftChars="-30" w:right="-63" w:rightChars="-30"/>
              <w:jc w:val="left"/>
              <w:rPr>
                <w:b/>
                <w:bCs/>
                <w:color w:val="000000"/>
                <w:spacing w:val="-6"/>
                <w:kern w:val="0"/>
                <w:sz w:val="18"/>
                <w:szCs w:val="18"/>
              </w:rPr>
            </w:pPr>
          </w:p>
        </w:tc>
        <w:tc>
          <w:tcPr>
            <w:tcW w:w="5960" w:type="dxa"/>
            <w:vAlign w:val="center"/>
          </w:tcPr>
          <w:p>
            <w:pPr>
              <w:widowControl/>
              <w:ind w:right="-63" w:rightChars="-30"/>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、乙级造价咨询企业两年平均“营业收入合计”达到或超过</w:t>
            </w:r>
            <w:r>
              <w:rPr>
                <w:color w:val="000000"/>
                <w:spacing w:val="-6"/>
                <w:kern w:val="0"/>
                <w:sz w:val="18"/>
                <w:szCs w:val="18"/>
              </w:rPr>
              <w:t>500</w:t>
            </w:r>
            <w:r>
              <w:rPr>
                <w:rFonts w:hint="eastAsia" w:hAnsi="宋体"/>
                <w:color w:val="000000"/>
                <w:spacing w:val="-6"/>
                <w:kern w:val="0"/>
                <w:sz w:val="18"/>
                <w:szCs w:val="18"/>
              </w:rPr>
              <w:t>万元的，每超过</w:t>
            </w:r>
            <w:r>
              <w:rPr>
                <w:color w:val="000000"/>
                <w:spacing w:val="-6"/>
                <w:kern w:val="0"/>
                <w:sz w:val="18"/>
                <w:szCs w:val="18"/>
              </w:rPr>
              <w:t>200</w:t>
            </w:r>
            <w:r>
              <w:rPr>
                <w:rFonts w:hint="eastAsia" w:hAnsi="宋体"/>
                <w:color w:val="000000"/>
                <w:spacing w:val="-6"/>
                <w:kern w:val="0"/>
                <w:sz w:val="18"/>
                <w:szCs w:val="18"/>
              </w:rPr>
              <w:t>万元计加</w:t>
            </w:r>
            <w:r>
              <w:rPr>
                <w:color w:val="000000"/>
                <w:spacing w:val="-6"/>
                <w:kern w:val="0"/>
                <w:sz w:val="18"/>
                <w:szCs w:val="18"/>
              </w:rPr>
              <w:t>0.2</w:t>
            </w:r>
            <w:r>
              <w:rPr>
                <w:rFonts w:hint="eastAsia" w:hAnsi="宋体"/>
                <w:color w:val="000000"/>
                <w:spacing w:val="-6"/>
                <w:kern w:val="0"/>
                <w:sz w:val="18"/>
                <w:szCs w:val="18"/>
              </w:rPr>
              <w:t>分。加分分值计算公式：（</w:t>
            </w:r>
            <w:r>
              <w:rPr>
                <w:color w:val="000000"/>
                <w:spacing w:val="-6"/>
                <w:kern w:val="0"/>
                <w:sz w:val="18"/>
                <w:szCs w:val="18"/>
              </w:rPr>
              <w:t>X-500</w:t>
            </w:r>
            <w:r>
              <w:rPr>
                <w:rFonts w:hint="eastAsia" w:hAnsi="宋体"/>
                <w:color w:val="000000"/>
                <w:spacing w:val="-6"/>
                <w:kern w:val="0"/>
                <w:sz w:val="18"/>
                <w:szCs w:val="18"/>
              </w:rPr>
              <w:t>）</w:t>
            </w:r>
            <w:r>
              <w:rPr>
                <w:color w:val="000000"/>
                <w:spacing w:val="-6"/>
                <w:kern w:val="0"/>
                <w:sz w:val="18"/>
                <w:szCs w:val="18"/>
              </w:rPr>
              <w:t>/200</w:t>
            </w:r>
            <w:r>
              <w:rPr>
                <w:rFonts w:ascii="Arial" w:hAnsi="Arial" w:cs="Arial"/>
                <w:color w:val="000000"/>
                <w:spacing w:val="-6"/>
                <w:kern w:val="0"/>
                <w:sz w:val="18"/>
                <w:szCs w:val="18"/>
              </w:rPr>
              <w:t>×</w:t>
            </w:r>
            <w:r>
              <w:rPr>
                <w:color w:val="000000"/>
                <w:spacing w:val="-6"/>
                <w:kern w:val="0"/>
                <w:sz w:val="18"/>
                <w:szCs w:val="18"/>
              </w:rPr>
              <w:t>0.2</w:t>
            </w:r>
            <w:r>
              <w:rPr>
                <w:rFonts w:hint="eastAsia" w:hAnsi="宋体"/>
                <w:color w:val="000000"/>
                <w:spacing w:val="-6"/>
                <w:kern w:val="0"/>
                <w:sz w:val="18"/>
                <w:szCs w:val="18"/>
              </w:rPr>
              <w:t>。</w:t>
            </w:r>
          </w:p>
        </w:tc>
        <w:tc>
          <w:tcPr>
            <w:tcW w:w="502" w:type="dxa"/>
            <w:noWrap/>
            <w:vAlign w:val="center"/>
          </w:tcPr>
          <w:p>
            <w:pPr>
              <w:widowControl/>
              <w:ind w:left="-63" w:leftChars="-30" w:right="-63" w:rightChars="-30"/>
              <w:jc w:val="center"/>
              <w:rPr>
                <w:color w:val="000000"/>
                <w:spacing w:val="-6"/>
                <w:kern w:val="0"/>
                <w:sz w:val="18"/>
                <w:szCs w:val="18"/>
              </w:rPr>
            </w:pPr>
          </w:p>
        </w:tc>
        <w:tc>
          <w:tcPr>
            <w:tcW w:w="540" w:type="dxa"/>
            <w:vAlign w:val="center"/>
          </w:tcPr>
          <w:p>
            <w:pPr>
              <w:widowControl/>
              <w:ind w:left="-63" w:leftChars="-30" w:right="-63" w:rightChars="-30"/>
              <w:jc w:val="center"/>
              <w:rPr>
                <w:color w:val="000000"/>
                <w:spacing w:val="-6"/>
                <w:kern w:val="0"/>
                <w:sz w:val="18"/>
                <w:szCs w:val="18"/>
              </w:rPr>
            </w:pPr>
          </w:p>
        </w:tc>
        <w:tc>
          <w:tcPr>
            <w:tcW w:w="438" w:type="dxa"/>
            <w:vMerge w:val="continue"/>
            <w:vAlign w:val="center"/>
          </w:tcPr>
          <w:p>
            <w:pPr>
              <w:widowControl/>
              <w:ind w:left="-63" w:leftChars="-30" w:right="-63" w:rightChars="-30"/>
              <w:jc w:val="center"/>
              <w:rPr>
                <w:color w:val="000000"/>
                <w:spacing w:val="-6"/>
                <w:kern w:val="0"/>
                <w:sz w:val="18"/>
                <w:szCs w:val="18"/>
              </w:rPr>
            </w:pPr>
          </w:p>
        </w:tc>
        <w:tc>
          <w:tcPr>
            <w:tcW w:w="554" w:type="dxa"/>
            <w:noWrap/>
            <w:vAlign w:val="center"/>
          </w:tcPr>
          <w:p>
            <w:pPr>
              <w:widowControl/>
              <w:ind w:left="-63" w:leftChars="-30" w:right="-63" w:rightChars="-30"/>
              <w:jc w:val="center"/>
              <w:rPr>
                <w:color w:val="000000"/>
                <w:spacing w:val="-6"/>
                <w:kern w:val="0"/>
                <w:sz w:val="18"/>
                <w:szCs w:val="18"/>
              </w:rPr>
            </w:pPr>
          </w:p>
        </w:tc>
        <w:tc>
          <w:tcPr>
            <w:tcW w:w="541" w:type="dxa"/>
            <w:vAlign w:val="center"/>
          </w:tcPr>
          <w:p>
            <w:pPr>
              <w:widowControl/>
              <w:ind w:left="-63" w:leftChars="-30" w:right="-63" w:rightChars="-30"/>
              <w:jc w:val="center"/>
              <w:rPr>
                <w:color w:val="000000"/>
                <w:spacing w:val="-6"/>
                <w:kern w:val="0"/>
                <w:sz w:val="18"/>
                <w:szCs w:val="18"/>
              </w:rPr>
            </w:pPr>
          </w:p>
        </w:tc>
        <w:tc>
          <w:tcPr>
            <w:tcW w:w="509" w:type="dxa"/>
            <w:vMerge w:val="continue"/>
            <w:vAlign w:val="center"/>
          </w:tcPr>
          <w:p>
            <w:pPr>
              <w:widowControl/>
              <w:ind w:left="-63" w:leftChars="-30" w:right="-63" w:rightChars="-30"/>
              <w:jc w:val="center"/>
              <w:rPr>
                <w:color w:val="000000"/>
                <w:spacing w:val="-6"/>
                <w:kern w:val="0"/>
                <w:sz w:val="18"/>
                <w:szCs w:val="18"/>
              </w:rPr>
            </w:pPr>
          </w:p>
        </w:tc>
        <w:tc>
          <w:tcPr>
            <w:tcW w:w="606" w:type="dxa"/>
            <w:vMerge w:val="continue"/>
            <w:vAlign w:val="center"/>
          </w:tcPr>
          <w:p>
            <w:pPr>
              <w:widowControl/>
              <w:ind w:left="-63" w:leftChars="-30" w:right="-63" w:rightChars="-30"/>
              <w:jc w:val="center"/>
              <w:rPr>
                <w:color w:val="000000"/>
                <w:spacing w:val="-6"/>
                <w:kern w:val="0"/>
                <w:sz w:val="18"/>
                <w:szCs w:val="18"/>
              </w:rPr>
            </w:pPr>
          </w:p>
        </w:tc>
        <w:tc>
          <w:tcPr>
            <w:tcW w:w="3214" w:type="dxa"/>
            <w:vMerge w:val="continue"/>
            <w:vAlign w:val="center"/>
          </w:tcPr>
          <w:p>
            <w:pPr>
              <w:widowControl/>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widowControl/>
              <w:ind w:left="-63" w:leftChars="-30" w:right="-63" w:rightChars="-30"/>
              <w:rPr>
                <w:rFonts w:eastAsia="方正黑体_GBK"/>
                <w:color w:val="000000"/>
                <w:spacing w:val="-6"/>
                <w:kern w:val="0"/>
                <w:sz w:val="18"/>
                <w:szCs w:val="18"/>
              </w:rPr>
            </w:pPr>
          </w:p>
        </w:tc>
        <w:tc>
          <w:tcPr>
            <w:tcW w:w="453" w:type="dxa"/>
            <w:vMerge w:val="restart"/>
            <w:noWrap/>
            <w:vAlign w:val="center"/>
          </w:tcPr>
          <w:p>
            <w:pPr>
              <w:widowControl/>
              <w:ind w:left="-63" w:leftChars="-30" w:right="-63" w:rightChars="-30"/>
              <w:jc w:val="center"/>
              <w:rPr>
                <w:b/>
                <w:bCs/>
                <w:color w:val="000000"/>
                <w:spacing w:val="-6"/>
                <w:kern w:val="0"/>
                <w:sz w:val="18"/>
                <w:szCs w:val="18"/>
              </w:rPr>
            </w:pPr>
            <w:r>
              <w:rPr>
                <w:b/>
                <w:bCs/>
                <w:color w:val="000000"/>
                <w:spacing w:val="-6"/>
                <w:kern w:val="0"/>
                <w:sz w:val="18"/>
                <w:szCs w:val="18"/>
              </w:rPr>
              <w:t>2</w:t>
            </w:r>
          </w:p>
        </w:tc>
        <w:tc>
          <w:tcPr>
            <w:tcW w:w="772" w:type="dxa"/>
            <w:vMerge w:val="restart"/>
            <w:vAlign w:val="center"/>
          </w:tcPr>
          <w:p>
            <w:pPr>
              <w:widowControl/>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工程造价咨询</w:t>
            </w:r>
          </w:p>
          <w:p>
            <w:pPr>
              <w:widowControl/>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业务收入</w:t>
            </w:r>
          </w:p>
        </w:tc>
        <w:tc>
          <w:tcPr>
            <w:tcW w:w="5960" w:type="dxa"/>
            <w:vAlign w:val="center"/>
          </w:tcPr>
          <w:p>
            <w:pPr>
              <w:widowControl/>
              <w:spacing w:line="240" w:lineRule="exact"/>
              <w:ind w:left="-63" w:leftChars="-30" w:right="-63" w:rightChars="-30"/>
              <w:rPr>
                <w:color w:val="000000"/>
                <w:spacing w:val="-6"/>
                <w:kern w:val="0"/>
                <w:sz w:val="18"/>
                <w:szCs w:val="18"/>
              </w:rPr>
            </w:pPr>
            <w:r>
              <w:rPr>
                <w:rFonts w:hint="eastAsia" w:hAnsi="宋体"/>
                <w:color w:val="000000"/>
                <w:spacing w:val="-6"/>
                <w:kern w:val="0"/>
                <w:sz w:val="18"/>
                <w:szCs w:val="18"/>
              </w:rPr>
              <w:t>企业</w:t>
            </w: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w:t>
            </w:r>
            <w:r>
              <w:rPr>
                <w:rFonts w:hint="eastAsia"/>
                <w:color w:val="000000"/>
                <w:spacing w:val="-6"/>
                <w:kern w:val="0"/>
                <w:sz w:val="18"/>
                <w:szCs w:val="18"/>
              </w:rPr>
              <w:t>”</w:t>
            </w:r>
            <w:r>
              <w:rPr>
                <w:color w:val="000000"/>
                <w:spacing w:val="-6"/>
                <w:kern w:val="0"/>
                <w:sz w:val="18"/>
                <w:szCs w:val="18"/>
                <w:u w:val="single"/>
              </w:rPr>
              <w:t xml:space="preserve">       </w:t>
            </w:r>
            <w:r>
              <w:rPr>
                <w:rFonts w:hint="eastAsia"/>
                <w:color w:val="000000"/>
                <w:spacing w:val="-6"/>
                <w:kern w:val="0"/>
                <w:sz w:val="18"/>
                <w:szCs w:val="18"/>
                <w:u w:val="single"/>
                <w:lang w:val="en-US" w:eastAsia="zh-CN"/>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502" w:type="dxa"/>
            <w:vMerge w:val="restart"/>
            <w:noWrap/>
            <w:vAlign w:val="center"/>
          </w:tcPr>
          <w:p>
            <w:pPr>
              <w:widowControl/>
              <w:ind w:left="-63" w:leftChars="-30" w:right="-63" w:rightChars="-30"/>
              <w:jc w:val="center"/>
              <w:rPr>
                <w:color w:val="000000"/>
                <w:spacing w:val="-6"/>
                <w:kern w:val="0"/>
                <w:sz w:val="18"/>
                <w:szCs w:val="18"/>
              </w:rPr>
            </w:pPr>
            <w:r>
              <w:rPr>
                <w:color w:val="000000"/>
                <w:spacing w:val="-6"/>
                <w:kern w:val="0"/>
                <w:sz w:val="18"/>
                <w:szCs w:val="18"/>
              </w:rPr>
              <w:t>—</w:t>
            </w:r>
          </w:p>
        </w:tc>
        <w:tc>
          <w:tcPr>
            <w:tcW w:w="540"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ind w:left="-63" w:leftChars="-30" w:right="-63" w:rightChars="-30"/>
              <w:jc w:val="center"/>
              <w:rPr>
                <w:color w:val="000000"/>
                <w:spacing w:val="-6"/>
                <w:kern w:val="0"/>
                <w:sz w:val="18"/>
                <w:szCs w:val="18"/>
              </w:rPr>
            </w:pPr>
            <w:r>
              <w:rPr>
                <w:color w:val="000000"/>
                <w:spacing w:val="-6"/>
                <w:kern w:val="0"/>
                <w:sz w:val="18"/>
                <w:szCs w:val="18"/>
              </w:rPr>
              <w:t>5</w:t>
            </w:r>
          </w:p>
        </w:tc>
        <w:tc>
          <w:tcPr>
            <w:tcW w:w="554" w:type="dxa"/>
            <w:vMerge w:val="restart"/>
            <w:noWrap/>
            <w:vAlign w:val="center"/>
          </w:tcPr>
          <w:p>
            <w:pPr>
              <w:widowControl/>
              <w:ind w:left="-63" w:leftChars="-30" w:right="-63" w:rightChars="-30"/>
              <w:jc w:val="center"/>
              <w:rPr>
                <w:color w:val="000000"/>
                <w:spacing w:val="-6"/>
                <w:kern w:val="0"/>
                <w:sz w:val="18"/>
                <w:szCs w:val="18"/>
              </w:rPr>
            </w:pPr>
            <w:r>
              <w:rPr>
                <w:color w:val="000000"/>
                <w:spacing w:val="-6"/>
                <w:kern w:val="0"/>
                <w:sz w:val="18"/>
                <w:szCs w:val="18"/>
              </w:rPr>
              <w:t>—</w:t>
            </w:r>
          </w:p>
        </w:tc>
        <w:tc>
          <w:tcPr>
            <w:tcW w:w="541"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ind w:left="-63" w:leftChars="-30" w:right="-63" w:rightChars="-30"/>
              <w:jc w:val="center"/>
              <w:rPr>
                <w:color w:val="000000"/>
                <w:spacing w:val="-6"/>
                <w:kern w:val="0"/>
                <w:sz w:val="18"/>
                <w:szCs w:val="18"/>
              </w:rPr>
            </w:pPr>
          </w:p>
        </w:tc>
        <w:tc>
          <w:tcPr>
            <w:tcW w:w="606" w:type="dxa"/>
            <w:vMerge w:val="restart"/>
            <w:noWrap/>
            <w:vAlign w:val="center"/>
          </w:tcPr>
          <w:p>
            <w:pPr>
              <w:widowControl/>
              <w:ind w:left="-63" w:leftChars="-30" w:right="-63" w:rightChars="-30"/>
              <w:jc w:val="center"/>
              <w:rPr>
                <w:color w:val="000000"/>
                <w:spacing w:val="-6"/>
                <w:kern w:val="0"/>
                <w:sz w:val="18"/>
                <w:szCs w:val="18"/>
              </w:rPr>
            </w:pPr>
          </w:p>
        </w:tc>
        <w:tc>
          <w:tcPr>
            <w:tcW w:w="3214" w:type="dxa"/>
            <w:vMerge w:val="restart"/>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color w:val="000000"/>
                <w:spacing w:val="-6"/>
                <w:kern w:val="0"/>
                <w:sz w:val="18"/>
                <w:szCs w:val="18"/>
              </w:rPr>
              <w:t>、“工程造价咨询业务收入”：根据国家“工程造价咨询统计报表制度”，由信用评价系统从造价咨询企业年度统计报表</w:t>
            </w:r>
            <w:r>
              <w:rPr>
                <w:color w:val="000000"/>
                <w:spacing w:val="-6"/>
                <w:kern w:val="0"/>
                <w:sz w:val="18"/>
                <w:szCs w:val="18"/>
              </w:rPr>
              <w:t>3</w:t>
            </w:r>
            <w:r>
              <w:rPr>
                <w:rFonts w:hint="eastAsia"/>
                <w:color w:val="000000"/>
                <w:spacing w:val="-6"/>
                <w:kern w:val="0"/>
                <w:sz w:val="18"/>
                <w:szCs w:val="18"/>
              </w:rPr>
              <w:t>中提取数据，不需企业填写。</w:t>
            </w:r>
          </w:p>
          <w:p>
            <w:pPr>
              <w:widowControl/>
              <w:spacing w:line="240" w:lineRule="exact"/>
              <w:ind w:left="-63" w:leftChars="-30" w:right="-63" w:rightChars="-30"/>
              <w:rPr>
                <w:color w:val="000000"/>
                <w:spacing w:val="-6"/>
                <w:kern w:val="0"/>
                <w:sz w:val="18"/>
                <w:szCs w:val="18"/>
              </w:rPr>
            </w:pPr>
            <w:r>
              <w:rPr>
                <w:color w:val="000000"/>
                <w:spacing w:val="-6"/>
                <w:kern w:val="0"/>
                <w:sz w:val="18"/>
                <w:szCs w:val="18"/>
              </w:rPr>
              <w:t>2</w:t>
            </w:r>
            <w:r>
              <w:rPr>
                <w:rFonts w:hint="eastAsia"/>
                <w:color w:val="000000"/>
                <w:spacing w:val="-6"/>
                <w:kern w:val="0"/>
                <w:sz w:val="18"/>
                <w:szCs w:val="18"/>
              </w:rPr>
              <w:t>、企业两年平均“工程造价咨询业务收入”为算术平均值，四舍五入保留小数点后两位小数，由信用评价系统自动生成，不需企业填写。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widowControl/>
              <w:ind w:left="-63" w:leftChars="-30" w:right="-63" w:rightChars="-30"/>
              <w:rPr>
                <w:rFonts w:eastAsia="方正黑体_GBK"/>
                <w:color w:val="000000"/>
                <w:spacing w:val="-6"/>
                <w:kern w:val="0"/>
                <w:sz w:val="18"/>
                <w:szCs w:val="18"/>
              </w:rPr>
            </w:pPr>
          </w:p>
        </w:tc>
        <w:tc>
          <w:tcPr>
            <w:tcW w:w="453" w:type="dxa"/>
            <w:vMerge w:val="continue"/>
            <w:vAlign w:val="center"/>
          </w:tcPr>
          <w:p>
            <w:pPr>
              <w:widowControl/>
              <w:ind w:left="-63" w:leftChars="-30" w:right="-63" w:rightChars="-30"/>
              <w:jc w:val="center"/>
              <w:rPr>
                <w:b/>
                <w:bCs/>
                <w:color w:val="000000"/>
                <w:spacing w:val="-6"/>
                <w:kern w:val="0"/>
                <w:sz w:val="18"/>
                <w:szCs w:val="18"/>
              </w:rPr>
            </w:pPr>
          </w:p>
        </w:tc>
        <w:tc>
          <w:tcPr>
            <w:tcW w:w="772" w:type="dxa"/>
            <w:vMerge w:val="continue"/>
            <w:vAlign w:val="center"/>
          </w:tcPr>
          <w:p>
            <w:pPr>
              <w:widowControl/>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企业</w:t>
            </w: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w:t>
            </w:r>
            <w:r>
              <w:rPr>
                <w:rFonts w:hint="eastAsia"/>
                <w:color w:val="000000"/>
                <w:spacing w:val="-6"/>
                <w:kern w:val="0"/>
                <w:sz w:val="18"/>
                <w:szCs w:val="18"/>
              </w:rPr>
              <w:t>”</w:t>
            </w:r>
            <w:r>
              <w:rPr>
                <w:color w:val="000000"/>
                <w:spacing w:val="-6"/>
                <w:kern w:val="0"/>
                <w:sz w:val="18"/>
                <w:szCs w:val="18"/>
                <w:u w:val="single"/>
              </w:rPr>
              <w:t xml:space="preserve">  </w:t>
            </w:r>
            <w:r>
              <w:rPr>
                <w:rFonts w:hint="eastAsia"/>
                <w:color w:val="000000"/>
                <w:spacing w:val="-6"/>
                <w:kern w:val="0"/>
                <w:sz w:val="18"/>
                <w:szCs w:val="18"/>
                <w:u w:val="single"/>
                <w:lang w:val="en-US" w:eastAsia="zh-CN"/>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502" w:type="dxa"/>
            <w:vMerge w:val="continue"/>
            <w:vAlign w:val="center"/>
          </w:tcPr>
          <w:p>
            <w:pPr>
              <w:widowControl/>
              <w:ind w:left="-63" w:leftChars="-30" w:right="-63" w:rightChars="-30"/>
              <w:jc w:val="center"/>
              <w:rPr>
                <w:color w:val="000000"/>
                <w:spacing w:val="-6"/>
                <w:kern w:val="0"/>
                <w:sz w:val="18"/>
                <w:szCs w:val="18"/>
              </w:rPr>
            </w:pPr>
          </w:p>
        </w:tc>
        <w:tc>
          <w:tcPr>
            <w:tcW w:w="540" w:type="dxa"/>
            <w:vMerge w:val="continue"/>
            <w:vAlign w:val="center"/>
          </w:tcPr>
          <w:p>
            <w:pPr>
              <w:widowControl/>
              <w:ind w:left="-63" w:leftChars="-30" w:right="-63" w:rightChars="-30"/>
              <w:jc w:val="center"/>
              <w:rPr>
                <w:color w:val="000000"/>
                <w:spacing w:val="-6"/>
                <w:kern w:val="0"/>
                <w:sz w:val="18"/>
                <w:szCs w:val="18"/>
              </w:rPr>
            </w:pPr>
          </w:p>
        </w:tc>
        <w:tc>
          <w:tcPr>
            <w:tcW w:w="438" w:type="dxa"/>
            <w:vMerge w:val="continue"/>
            <w:vAlign w:val="center"/>
          </w:tcPr>
          <w:p>
            <w:pPr>
              <w:widowControl/>
              <w:ind w:left="-63" w:leftChars="-30" w:right="-63" w:rightChars="-30"/>
              <w:jc w:val="center"/>
              <w:rPr>
                <w:color w:val="000000"/>
                <w:spacing w:val="-6"/>
                <w:kern w:val="0"/>
                <w:sz w:val="18"/>
                <w:szCs w:val="18"/>
              </w:rPr>
            </w:pPr>
          </w:p>
        </w:tc>
        <w:tc>
          <w:tcPr>
            <w:tcW w:w="554" w:type="dxa"/>
            <w:vMerge w:val="continue"/>
            <w:vAlign w:val="center"/>
          </w:tcPr>
          <w:p>
            <w:pPr>
              <w:widowControl/>
              <w:ind w:left="-63" w:leftChars="-30" w:right="-63" w:rightChars="-30"/>
              <w:jc w:val="center"/>
              <w:rPr>
                <w:color w:val="000000"/>
                <w:spacing w:val="-6"/>
                <w:kern w:val="0"/>
                <w:sz w:val="18"/>
                <w:szCs w:val="18"/>
              </w:rPr>
            </w:pPr>
          </w:p>
        </w:tc>
        <w:tc>
          <w:tcPr>
            <w:tcW w:w="541" w:type="dxa"/>
            <w:vMerge w:val="continue"/>
            <w:vAlign w:val="center"/>
          </w:tcPr>
          <w:p>
            <w:pPr>
              <w:widowControl/>
              <w:ind w:left="-63" w:leftChars="-30" w:right="-63" w:rightChars="-30"/>
              <w:jc w:val="center"/>
              <w:rPr>
                <w:color w:val="000000"/>
                <w:spacing w:val="-6"/>
                <w:kern w:val="0"/>
                <w:sz w:val="18"/>
                <w:szCs w:val="18"/>
              </w:rPr>
            </w:pPr>
          </w:p>
        </w:tc>
        <w:tc>
          <w:tcPr>
            <w:tcW w:w="509" w:type="dxa"/>
            <w:vMerge w:val="continue"/>
            <w:vAlign w:val="center"/>
          </w:tcPr>
          <w:p>
            <w:pPr>
              <w:widowControl/>
              <w:ind w:left="-63" w:leftChars="-30" w:right="-63" w:rightChars="-30"/>
              <w:jc w:val="center"/>
              <w:rPr>
                <w:color w:val="000000"/>
                <w:spacing w:val="-6"/>
                <w:kern w:val="0"/>
                <w:sz w:val="18"/>
                <w:szCs w:val="18"/>
              </w:rPr>
            </w:pPr>
          </w:p>
        </w:tc>
        <w:tc>
          <w:tcPr>
            <w:tcW w:w="606" w:type="dxa"/>
            <w:vMerge w:val="continue"/>
            <w:vAlign w:val="center"/>
          </w:tcPr>
          <w:p>
            <w:pPr>
              <w:widowControl/>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widowControl/>
              <w:ind w:left="-63" w:leftChars="-30" w:right="-63" w:rightChars="-30"/>
              <w:rPr>
                <w:rFonts w:eastAsia="方正黑体_GBK"/>
                <w:color w:val="000000"/>
                <w:spacing w:val="-6"/>
                <w:kern w:val="0"/>
                <w:sz w:val="18"/>
                <w:szCs w:val="18"/>
              </w:rPr>
            </w:pPr>
          </w:p>
        </w:tc>
        <w:tc>
          <w:tcPr>
            <w:tcW w:w="453" w:type="dxa"/>
            <w:vMerge w:val="continue"/>
            <w:vAlign w:val="center"/>
          </w:tcPr>
          <w:p>
            <w:pPr>
              <w:widowControl/>
              <w:ind w:left="-63" w:leftChars="-30" w:right="-63" w:rightChars="-30"/>
              <w:jc w:val="center"/>
              <w:rPr>
                <w:b/>
                <w:bCs/>
                <w:color w:val="000000"/>
                <w:spacing w:val="-6"/>
                <w:kern w:val="0"/>
                <w:sz w:val="18"/>
                <w:szCs w:val="18"/>
              </w:rPr>
            </w:pPr>
          </w:p>
        </w:tc>
        <w:tc>
          <w:tcPr>
            <w:tcW w:w="772" w:type="dxa"/>
            <w:vMerge w:val="continue"/>
            <w:vAlign w:val="center"/>
          </w:tcPr>
          <w:p>
            <w:pPr>
              <w:widowControl/>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rPr>
                <w:color w:val="000000"/>
                <w:spacing w:val="-6"/>
                <w:kern w:val="0"/>
                <w:sz w:val="18"/>
                <w:szCs w:val="18"/>
              </w:rPr>
            </w:pPr>
            <w:r>
              <w:rPr>
                <w:rFonts w:hint="eastAsia" w:hAnsi="宋体"/>
                <w:color w:val="000000"/>
                <w:spacing w:val="-6"/>
                <w:kern w:val="0"/>
                <w:sz w:val="18"/>
                <w:szCs w:val="18"/>
              </w:rPr>
              <w:t>企业两年平均</w:t>
            </w:r>
            <w:r>
              <w:rPr>
                <w:rFonts w:hint="eastAsia"/>
                <w:color w:val="000000"/>
                <w:spacing w:val="-6"/>
                <w:kern w:val="0"/>
                <w:sz w:val="18"/>
                <w:szCs w:val="18"/>
              </w:rPr>
              <w:t>“</w:t>
            </w:r>
            <w:r>
              <w:rPr>
                <w:rFonts w:hint="eastAsia" w:hAnsi="宋体"/>
                <w:color w:val="000000"/>
                <w:spacing w:val="-6"/>
                <w:kern w:val="0"/>
                <w:sz w:val="18"/>
                <w:szCs w:val="18"/>
              </w:rPr>
              <w:t>工程造价咨询业务收入</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502" w:type="dxa"/>
            <w:vMerge w:val="continue"/>
            <w:vAlign w:val="center"/>
          </w:tcPr>
          <w:p>
            <w:pPr>
              <w:widowControl/>
              <w:ind w:left="-63" w:leftChars="-30" w:right="-63" w:rightChars="-30"/>
              <w:jc w:val="center"/>
              <w:rPr>
                <w:color w:val="000000"/>
                <w:spacing w:val="-6"/>
                <w:kern w:val="0"/>
                <w:sz w:val="18"/>
                <w:szCs w:val="18"/>
              </w:rPr>
            </w:pPr>
          </w:p>
        </w:tc>
        <w:tc>
          <w:tcPr>
            <w:tcW w:w="540" w:type="dxa"/>
            <w:vMerge w:val="continue"/>
            <w:vAlign w:val="center"/>
          </w:tcPr>
          <w:p>
            <w:pPr>
              <w:widowControl/>
              <w:ind w:left="-63" w:leftChars="-30" w:right="-63" w:rightChars="-30"/>
              <w:jc w:val="center"/>
              <w:rPr>
                <w:color w:val="000000"/>
                <w:spacing w:val="-6"/>
                <w:kern w:val="0"/>
                <w:sz w:val="18"/>
                <w:szCs w:val="18"/>
              </w:rPr>
            </w:pPr>
          </w:p>
        </w:tc>
        <w:tc>
          <w:tcPr>
            <w:tcW w:w="438" w:type="dxa"/>
            <w:vMerge w:val="continue"/>
            <w:vAlign w:val="center"/>
          </w:tcPr>
          <w:p>
            <w:pPr>
              <w:widowControl/>
              <w:ind w:left="-63" w:leftChars="-30" w:right="-63" w:rightChars="-30"/>
              <w:jc w:val="center"/>
              <w:rPr>
                <w:color w:val="000000"/>
                <w:spacing w:val="-6"/>
                <w:kern w:val="0"/>
                <w:sz w:val="18"/>
                <w:szCs w:val="18"/>
              </w:rPr>
            </w:pPr>
          </w:p>
        </w:tc>
        <w:tc>
          <w:tcPr>
            <w:tcW w:w="554" w:type="dxa"/>
            <w:vMerge w:val="continue"/>
            <w:vAlign w:val="center"/>
          </w:tcPr>
          <w:p>
            <w:pPr>
              <w:widowControl/>
              <w:ind w:left="-63" w:leftChars="-30" w:right="-63" w:rightChars="-30"/>
              <w:jc w:val="center"/>
              <w:rPr>
                <w:color w:val="000000"/>
                <w:spacing w:val="-6"/>
                <w:kern w:val="0"/>
                <w:sz w:val="18"/>
                <w:szCs w:val="18"/>
              </w:rPr>
            </w:pPr>
          </w:p>
        </w:tc>
        <w:tc>
          <w:tcPr>
            <w:tcW w:w="541" w:type="dxa"/>
            <w:vMerge w:val="continue"/>
            <w:vAlign w:val="center"/>
          </w:tcPr>
          <w:p>
            <w:pPr>
              <w:widowControl/>
              <w:ind w:left="-63" w:leftChars="-30" w:right="-63" w:rightChars="-30"/>
              <w:jc w:val="center"/>
              <w:rPr>
                <w:color w:val="000000"/>
                <w:spacing w:val="-6"/>
                <w:kern w:val="0"/>
                <w:sz w:val="18"/>
                <w:szCs w:val="18"/>
              </w:rPr>
            </w:pPr>
          </w:p>
        </w:tc>
        <w:tc>
          <w:tcPr>
            <w:tcW w:w="509" w:type="dxa"/>
            <w:vMerge w:val="continue"/>
            <w:vAlign w:val="center"/>
          </w:tcPr>
          <w:p>
            <w:pPr>
              <w:widowControl/>
              <w:ind w:left="-63" w:leftChars="-30" w:right="-63" w:rightChars="-30"/>
              <w:jc w:val="center"/>
              <w:rPr>
                <w:color w:val="000000"/>
                <w:spacing w:val="-6"/>
                <w:kern w:val="0"/>
                <w:sz w:val="18"/>
                <w:szCs w:val="18"/>
              </w:rPr>
            </w:pPr>
          </w:p>
        </w:tc>
        <w:tc>
          <w:tcPr>
            <w:tcW w:w="606" w:type="dxa"/>
            <w:vMerge w:val="continue"/>
            <w:vAlign w:val="center"/>
          </w:tcPr>
          <w:p>
            <w:pPr>
              <w:widowControl/>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1" w:type="dxa"/>
            <w:vMerge w:val="continue"/>
            <w:vAlign w:val="center"/>
          </w:tcPr>
          <w:p>
            <w:pPr>
              <w:widowControl/>
              <w:ind w:left="-63" w:leftChars="-30" w:right="-63" w:rightChars="-30"/>
              <w:rPr>
                <w:rFonts w:eastAsia="方正黑体_GBK"/>
                <w:color w:val="000000"/>
                <w:spacing w:val="-6"/>
                <w:kern w:val="0"/>
                <w:sz w:val="18"/>
                <w:szCs w:val="18"/>
              </w:rPr>
            </w:pPr>
          </w:p>
        </w:tc>
        <w:tc>
          <w:tcPr>
            <w:tcW w:w="453" w:type="dxa"/>
            <w:vMerge w:val="continue"/>
            <w:vAlign w:val="center"/>
          </w:tcPr>
          <w:p>
            <w:pPr>
              <w:widowControl/>
              <w:ind w:left="-63" w:leftChars="-30" w:right="-63" w:rightChars="-30"/>
              <w:jc w:val="center"/>
              <w:rPr>
                <w:b/>
                <w:bCs/>
                <w:color w:val="000000"/>
                <w:spacing w:val="-6"/>
                <w:kern w:val="0"/>
                <w:sz w:val="18"/>
                <w:szCs w:val="18"/>
              </w:rPr>
            </w:pPr>
          </w:p>
        </w:tc>
        <w:tc>
          <w:tcPr>
            <w:tcW w:w="772" w:type="dxa"/>
            <w:vMerge w:val="continue"/>
            <w:vAlign w:val="center"/>
          </w:tcPr>
          <w:p>
            <w:pPr>
              <w:widowControl/>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、甲级造价咨询企业两年平均工程造价咨询业务收入达到或超过</w:t>
            </w:r>
            <w:r>
              <w:rPr>
                <w:color w:val="000000"/>
                <w:spacing w:val="-6"/>
                <w:kern w:val="0"/>
                <w:sz w:val="18"/>
                <w:szCs w:val="18"/>
              </w:rPr>
              <w:t>500</w:t>
            </w:r>
            <w:r>
              <w:rPr>
                <w:rFonts w:hint="eastAsia" w:hAnsi="宋体"/>
                <w:color w:val="000000"/>
                <w:spacing w:val="-6"/>
                <w:kern w:val="0"/>
                <w:sz w:val="18"/>
                <w:szCs w:val="18"/>
              </w:rPr>
              <w:t>万元的，每超过</w:t>
            </w:r>
            <w:r>
              <w:rPr>
                <w:color w:val="000000"/>
                <w:spacing w:val="-6"/>
                <w:kern w:val="0"/>
                <w:sz w:val="18"/>
                <w:szCs w:val="18"/>
              </w:rPr>
              <w:t>200</w:t>
            </w:r>
            <w:r>
              <w:rPr>
                <w:rFonts w:hint="eastAsia" w:hAnsi="宋体"/>
                <w:color w:val="000000"/>
                <w:spacing w:val="-6"/>
                <w:kern w:val="0"/>
                <w:sz w:val="18"/>
                <w:szCs w:val="18"/>
              </w:rPr>
              <w:t>万元计加</w:t>
            </w:r>
            <w:r>
              <w:rPr>
                <w:color w:val="000000"/>
                <w:spacing w:val="-6"/>
                <w:kern w:val="0"/>
                <w:sz w:val="18"/>
                <w:szCs w:val="18"/>
              </w:rPr>
              <w:t>0.3</w:t>
            </w:r>
            <w:r>
              <w:rPr>
                <w:rFonts w:hint="eastAsia" w:hAnsi="宋体"/>
                <w:color w:val="000000"/>
                <w:spacing w:val="-6"/>
                <w:kern w:val="0"/>
                <w:sz w:val="18"/>
                <w:szCs w:val="18"/>
              </w:rPr>
              <w:t>分。加分分值计算公式：（</w:t>
            </w:r>
            <w:r>
              <w:rPr>
                <w:color w:val="000000"/>
                <w:spacing w:val="-6"/>
                <w:kern w:val="0"/>
                <w:sz w:val="18"/>
                <w:szCs w:val="18"/>
              </w:rPr>
              <w:t>X</w:t>
            </w:r>
            <w:r>
              <w:rPr>
                <w:rFonts w:hint="eastAsia"/>
                <w:color w:val="000000"/>
                <w:spacing w:val="-6"/>
                <w:kern w:val="0"/>
                <w:sz w:val="18"/>
                <w:szCs w:val="18"/>
                <w:lang w:val="en-US" w:eastAsia="zh-CN"/>
              </w:rPr>
              <w:t>-</w:t>
            </w:r>
            <w:r>
              <w:rPr>
                <w:color w:val="000000"/>
                <w:spacing w:val="-6"/>
                <w:kern w:val="0"/>
                <w:sz w:val="18"/>
                <w:szCs w:val="18"/>
              </w:rPr>
              <w:t>500</w:t>
            </w:r>
            <w:r>
              <w:rPr>
                <w:rFonts w:hint="eastAsia" w:hAnsi="宋体"/>
                <w:color w:val="000000"/>
                <w:spacing w:val="-6"/>
                <w:kern w:val="0"/>
                <w:sz w:val="18"/>
                <w:szCs w:val="18"/>
              </w:rPr>
              <w:t>）</w:t>
            </w:r>
            <w:r>
              <w:rPr>
                <w:color w:val="000000"/>
                <w:spacing w:val="-6"/>
                <w:kern w:val="0"/>
                <w:sz w:val="18"/>
                <w:szCs w:val="18"/>
              </w:rPr>
              <w:t>/200</w:t>
            </w:r>
            <w:r>
              <w:rPr>
                <w:rFonts w:ascii="Arial" w:hAnsi="Arial" w:cs="Arial"/>
                <w:color w:val="000000"/>
                <w:spacing w:val="-6"/>
                <w:kern w:val="0"/>
                <w:sz w:val="18"/>
                <w:szCs w:val="18"/>
              </w:rPr>
              <w:t>×</w:t>
            </w:r>
            <w:r>
              <w:rPr>
                <w:color w:val="000000"/>
                <w:spacing w:val="-6"/>
                <w:kern w:val="0"/>
                <w:sz w:val="18"/>
                <w:szCs w:val="18"/>
              </w:rPr>
              <w:t>0.3</w:t>
            </w:r>
            <w:r>
              <w:rPr>
                <w:rFonts w:hint="eastAsia" w:hAnsi="宋体"/>
                <w:color w:val="000000"/>
                <w:spacing w:val="-6"/>
                <w:kern w:val="0"/>
                <w:sz w:val="18"/>
                <w:szCs w:val="18"/>
              </w:rPr>
              <w:t>。</w:t>
            </w:r>
          </w:p>
        </w:tc>
        <w:tc>
          <w:tcPr>
            <w:tcW w:w="502" w:type="dxa"/>
            <w:noWrap/>
            <w:vAlign w:val="center"/>
          </w:tcPr>
          <w:p>
            <w:pPr>
              <w:widowControl/>
              <w:ind w:left="-63" w:leftChars="-30" w:right="-63" w:rightChars="-30"/>
              <w:jc w:val="center"/>
              <w:rPr>
                <w:color w:val="000000"/>
                <w:spacing w:val="-6"/>
                <w:kern w:val="0"/>
                <w:sz w:val="18"/>
                <w:szCs w:val="18"/>
              </w:rPr>
            </w:pPr>
          </w:p>
        </w:tc>
        <w:tc>
          <w:tcPr>
            <w:tcW w:w="540" w:type="dxa"/>
            <w:vAlign w:val="center"/>
          </w:tcPr>
          <w:p>
            <w:pPr>
              <w:widowControl/>
              <w:ind w:left="-63" w:leftChars="-30" w:right="-63" w:rightChars="-30"/>
              <w:jc w:val="center"/>
              <w:rPr>
                <w:color w:val="000000"/>
                <w:spacing w:val="-6"/>
                <w:kern w:val="0"/>
                <w:sz w:val="18"/>
                <w:szCs w:val="18"/>
              </w:rPr>
            </w:pPr>
          </w:p>
        </w:tc>
        <w:tc>
          <w:tcPr>
            <w:tcW w:w="438" w:type="dxa"/>
            <w:vMerge w:val="continue"/>
            <w:vAlign w:val="center"/>
          </w:tcPr>
          <w:p>
            <w:pPr>
              <w:widowControl/>
              <w:ind w:left="-63" w:leftChars="-30" w:right="-63" w:rightChars="-30"/>
              <w:jc w:val="center"/>
              <w:rPr>
                <w:color w:val="000000"/>
                <w:spacing w:val="-6"/>
                <w:kern w:val="0"/>
                <w:sz w:val="18"/>
                <w:szCs w:val="18"/>
              </w:rPr>
            </w:pPr>
          </w:p>
        </w:tc>
        <w:tc>
          <w:tcPr>
            <w:tcW w:w="554" w:type="dxa"/>
            <w:noWrap/>
            <w:vAlign w:val="center"/>
          </w:tcPr>
          <w:p>
            <w:pPr>
              <w:widowControl/>
              <w:ind w:left="-63" w:leftChars="-30" w:right="-63" w:rightChars="-30"/>
              <w:jc w:val="center"/>
              <w:rPr>
                <w:color w:val="000000"/>
                <w:spacing w:val="-6"/>
                <w:kern w:val="0"/>
                <w:sz w:val="18"/>
                <w:szCs w:val="18"/>
              </w:rPr>
            </w:pPr>
          </w:p>
        </w:tc>
        <w:tc>
          <w:tcPr>
            <w:tcW w:w="541" w:type="dxa"/>
            <w:vAlign w:val="center"/>
          </w:tcPr>
          <w:p>
            <w:pPr>
              <w:widowControl/>
              <w:ind w:left="-63" w:leftChars="-30" w:right="-63" w:rightChars="-30"/>
              <w:jc w:val="center"/>
              <w:rPr>
                <w:color w:val="000000"/>
                <w:spacing w:val="-6"/>
                <w:kern w:val="0"/>
                <w:sz w:val="18"/>
                <w:szCs w:val="18"/>
              </w:rPr>
            </w:pPr>
          </w:p>
        </w:tc>
        <w:tc>
          <w:tcPr>
            <w:tcW w:w="509" w:type="dxa"/>
            <w:vMerge w:val="continue"/>
            <w:vAlign w:val="center"/>
          </w:tcPr>
          <w:p>
            <w:pPr>
              <w:widowControl/>
              <w:ind w:left="-63" w:leftChars="-30" w:right="-63" w:rightChars="-30"/>
              <w:jc w:val="center"/>
              <w:rPr>
                <w:color w:val="000000"/>
                <w:spacing w:val="-6"/>
                <w:kern w:val="0"/>
                <w:sz w:val="18"/>
                <w:szCs w:val="18"/>
              </w:rPr>
            </w:pPr>
          </w:p>
        </w:tc>
        <w:tc>
          <w:tcPr>
            <w:tcW w:w="606" w:type="dxa"/>
            <w:vMerge w:val="continue"/>
            <w:vAlign w:val="center"/>
          </w:tcPr>
          <w:p>
            <w:pPr>
              <w:widowControl/>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1" w:type="dxa"/>
            <w:vMerge w:val="continue"/>
            <w:vAlign w:val="center"/>
          </w:tcPr>
          <w:p>
            <w:pPr>
              <w:widowControl/>
              <w:ind w:left="-63" w:leftChars="-30" w:right="-63" w:rightChars="-30"/>
              <w:rPr>
                <w:rFonts w:eastAsia="方正黑体_GBK"/>
                <w:color w:val="000000"/>
                <w:spacing w:val="-6"/>
                <w:kern w:val="0"/>
                <w:sz w:val="18"/>
                <w:szCs w:val="18"/>
              </w:rPr>
            </w:pPr>
          </w:p>
        </w:tc>
        <w:tc>
          <w:tcPr>
            <w:tcW w:w="453" w:type="dxa"/>
            <w:vMerge w:val="continue"/>
            <w:vAlign w:val="center"/>
          </w:tcPr>
          <w:p>
            <w:pPr>
              <w:widowControl/>
              <w:ind w:left="-63" w:leftChars="-30" w:right="-63" w:rightChars="-30"/>
              <w:jc w:val="center"/>
              <w:rPr>
                <w:b/>
                <w:bCs/>
                <w:color w:val="000000"/>
                <w:spacing w:val="-6"/>
                <w:kern w:val="0"/>
                <w:sz w:val="18"/>
                <w:szCs w:val="18"/>
              </w:rPr>
            </w:pPr>
          </w:p>
        </w:tc>
        <w:tc>
          <w:tcPr>
            <w:tcW w:w="772" w:type="dxa"/>
            <w:vMerge w:val="continue"/>
            <w:vAlign w:val="center"/>
          </w:tcPr>
          <w:p>
            <w:pPr>
              <w:widowControl/>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、乙级造价咨询企业两年平均工程造价咨询业务收入达到或超过</w:t>
            </w:r>
            <w:r>
              <w:rPr>
                <w:color w:val="000000"/>
                <w:spacing w:val="-6"/>
                <w:kern w:val="0"/>
                <w:sz w:val="18"/>
                <w:szCs w:val="18"/>
              </w:rPr>
              <w:t>200</w:t>
            </w:r>
            <w:r>
              <w:rPr>
                <w:rFonts w:hint="eastAsia" w:hAnsi="宋体"/>
                <w:color w:val="000000"/>
                <w:spacing w:val="-6"/>
                <w:kern w:val="0"/>
                <w:sz w:val="18"/>
                <w:szCs w:val="18"/>
              </w:rPr>
              <w:t>万元的，每超过</w:t>
            </w:r>
            <w:r>
              <w:rPr>
                <w:color w:val="000000"/>
                <w:spacing w:val="-6"/>
                <w:kern w:val="0"/>
                <w:sz w:val="18"/>
                <w:szCs w:val="18"/>
              </w:rPr>
              <w:t>100</w:t>
            </w:r>
            <w:r>
              <w:rPr>
                <w:rFonts w:hint="eastAsia" w:hAnsi="宋体"/>
                <w:color w:val="000000"/>
                <w:spacing w:val="-6"/>
                <w:kern w:val="0"/>
                <w:sz w:val="18"/>
                <w:szCs w:val="18"/>
              </w:rPr>
              <w:t>万元计加</w:t>
            </w:r>
            <w:r>
              <w:rPr>
                <w:color w:val="000000"/>
                <w:spacing w:val="-6"/>
                <w:kern w:val="0"/>
                <w:sz w:val="18"/>
                <w:szCs w:val="18"/>
              </w:rPr>
              <w:t>0.3</w:t>
            </w:r>
            <w:r>
              <w:rPr>
                <w:rFonts w:hint="eastAsia" w:hAnsi="宋体"/>
                <w:color w:val="000000"/>
                <w:spacing w:val="-6"/>
                <w:kern w:val="0"/>
                <w:sz w:val="18"/>
                <w:szCs w:val="18"/>
              </w:rPr>
              <w:t>分。加分分值计算公式：（</w:t>
            </w:r>
            <w:r>
              <w:rPr>
                <w:color w:val="000000"/>
                <w:spacing w:val="-6"/>
                <w:kern w:val="0"/>
                <w:sz w:val="18"/>
                <w:szCs w:val="18"/>
              </w:rPr>
              <w:t>X</w:t>
            </w:r>
            <w:r>
              <w:rPr>
                <w:rFonts w:hint="eastAsia"/>
                <w:color w:val="000000"/>
                <w:spacing w:val="-6"/>
                <w:kern w:val="0"/>
                <w:sz w:val="18"/>
                <w:szCs w:val="18"/>
                <w:lang w:val="en-US" w:eastAsia="zh-CN"/>
              </w:rPr>
              <w:t>-</w:t>
            </w:r>
            <w:r>
              <w:rPr>
                <w:color w:val="000000"/>
                <w:spacing w:val="-6"/>
                <w:kern w:val="0"/>
                <w:sz w:val="18"/>
                <w:szCs w:val="18"/>
              </w:rPr>
              <w:t>200</w:t>
            </w:r>
            <w:r>
              <w:rPr>
                <w:rFonts w:hint="eastAsia" w:hAnsi="宋体"/>
                <w:color w:val="000000"/>
                <w:spacing w:val="-6"/>
                <w:kern w:val="0"/>
                <w:sz w:val="18"/>
                <w:szCs w:val="18"/>
              </w:rPr>
              <w:t>）</w:t>
            </w:r>
            <w:r>
              <w:rPr>
                <w:color w:val="000000"/>
                <w:spacing w:val="-6"/>
                <w:kern w:val="0"/>
                <w:sz w:val="18"/>
                <w:szCs w:val="18"/>
              </w:rPr>
              <w:t>/100</w:t>
            </w:r>
            <w:r>
              <w:rPr>
                <w:rFonts w:ascii="Arial" w:hAnsi="Arial" w:cs="Arial"/>
                <w:color w:val="000000"/>
                <w:spacing w:val="-6"/>
                <w:kern w:val="0"/>
                <w:sz w:val="18"/>
                <w:szCs w:val="18"/>
              </w:rPr>
              <w:t>×</w:t>
            </w:r>
            <w:r>
              <w:rPr>
                <w:color w:val="000000"/>
                <w:spacing w:val="-6"/>
                <w:kern w:val="0"/>
                <w:sz w:val="18"/>
                <w:szCs w:val="18"/>
              </w:rPr>
              <w:t>0.3</w:t>
            </w:r>
            <w:r>
              <w:rPr>
                <w:rFonts w:hint="eastAsia" w:hAnsi="宋体"/>
                <w:color w:val="000000"/>
                <w:spacing w:val="-6"/>
                <w:kern w:val="0"/>
                <w:sz w:val="18"/>
                <w:szCs w:val="18"/>
              </w:rPr>
              <w:t>。</w:t>
            </w:r>
          </w:p>
        </w:tc>
        <w:tc>
          <w:tcPr>
            <w:tcW w:w="502" w:type="dxa"/>
            <w:noWrap/>
            <w:vAlign w:val="center"/>
          </w:tcPr>
          <w:p>
            <w:pPr>
              <w:widowControl/>
              <w:ind w:left="-63" w:leftChars="-30" w:right="-63" w:rightChars="-30"/>
              <w:jc w:val="center"/>
              <w:rPr>
                <w:color w:val="000000"/>
                <w:spacing w:val="-6"/>
                <w:kern w:val="0"/>
                <w:sz w:val="18"/>
                <w:szCs w:val="18"/>
              </w:rPr>
            </w:pPr>
          </w:p>
        </w:tc>
        <w:tc>
          <w:tcPr>
            <w:tcW w:w="540" w:type="dxa"/>
            <w:vAlign w:val="center"/>
          </w:tcPr>
          <w:p>
            <w:pPr>
              <w:widowControl/>
              <w:ind w:left="-63" w:leftChars="-30" w:right="-63" w:rightChars="-30"/>
              <w:jc w:val="center"/>
              <w:rPr>
                <w:color w:val="000000"/>
                <w:spacing w:val="-6"/>
                <w:kern w:val="0"/>
                <w:sz w:val="18"/>
                <w:szCs w:val="18"/>
              </w:rPr>
            </w:pPr>
          </w:p>
        </w:tc>
        <w:tc>
          <w:tcPr>
            <w:tcW w:w="438" w:type="dxa"/>
            <w:vMerge w:val="continue"/>
            <w:vAlign w:val="center"/>
          </w:tcPr>
          <w:p>
            <w:pPr>
              <w:widowControl/>
              <w:ind w:left="-63" w:leftChars="-30" w:right="-63" w:rightChars="-30"/>
              <w:jc w:val="center"/>
              <w:rPr>
                <w:color w:val="000000"/>
                <w:spacing w:val="-6"/>
                <w:kern w:val="0"/>
                <w:sz w:val="18"/>
                <w:szCs w:val="18"/>
              </w:rPr>
            </w:pPr>
          </w:p>
        </w:tc>
        <w:tc>
          <w:tcPr>
            <w:tcW w:w="554" w:type="dxa"/>
            <w:noWrap/>
            <w:vAlign w:val="center"/>
          </w:tcPr>
          <w:p>
            <w:pPr>
              <w:widowControl/>
              <w:ind w:left="-63" w:leftChars="-30" w:right="-63" w:rightChars="-30"/>
              <w:jc w:val="center"/>
              <w:rPr>
                <w:color w:val="000000"/>
                <w:spacing w:val="-6"/>
                <w:kern w:val="0"/>
                <w:sz w:val="18"/>
                <w:szCs w:val="18"/>
              </w:rPr>
            </w:pPr>
          </w:p>
        </w:tc>
        <w:tc>
          <w:tcPr>
            <w:tcW w:w="541" w:type="dxa"/>
            <w:vAlign w:val="center"/>
          </w:tcPr>
          <w:p>
            <w:pPr>
              <w:widowControl/>
              <w:ind w:left="-63" w:leftChars="-30" w:right="-63" w:rightChars="-30"/>
              <w:jc w:val="center"/>
              <w:rPr>
                <w:color w:val="000000"/>
                <w:spacing w:val="-6"/>
                <w:kern w:val="0"/>
                <w:sz w:val="18"/>
                <w:szCs w:val="18"/>
              </w:rPr>
            </w:pPr>
          </w:p>
        </w:tc>
        <w:tc>
          <w:tcPr>
            <w:tcW w:w="509" w:type="dxa"/>
            <w:vMerge w:val="continue"/>
            <w:vAlign w:val="center"/>
          </w:tcPr>
          <w:p>
            <w:pPr>
              <w:widowControl/>
              <w:ind w:left="-63" w:leftChars="-30" w:right="-63" w:rightChars="-30"/>
              <w:jc w:val="center"/>
              <w:rPr>
                <w:color w:val="000000"/>
                <w:spacing w:val="-6"/>
                <w:kern w:val="0"/>
                <w:sz w:val="18"/>
                <w:szCs w:val="18"/>
              </w:rPr>
            </w:pPr>
          </w:p>
        </w:tc>
        <w:tc>
          <w:tcPr>
            <w:tcW w:w="606" w:type="dxa"/>
            <w:vMerge w:val="continue"/>
            <w:vAlign w:val="center"/>
          </w:tcPr>
          <w:p>
            <w:pPr>
              <w:widowControl/>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1" w:type="dxa"/>
            <w:vMerge w:val="restart"/>
            <w:vAlign w:val="center"/>
          </w:tcPr>
          <w:p>
            <w:pPr>
              <w:widowControl/>
              <w:ind w:left="-63" w:leftChars="-30" w:right="-63" w:rightChars="-30"/>
              <w:rPr>
                <w:rFonts w:eastAsia="方正黑体_GBK"/>
                <w:color w:val="000000"/>
                <w:spacing w:val="-6"/>
                <w:kern w:val="0"/>
                <w:sz w:val="18"/>
                <w:szCs w:val="18"/>
              </w:rPr>
            </w:pPr>
            <w:r>
              <w:rPr>
                <w:rFonts w:hint="eastAsia" w:eastAsia="方正黑体_GBK"/>
                <w:color w:val="000000"/>
                <w:spacing w:val="-6"/>
                <w:kern w:val="0"/>
                <w:sz w:val="18"/>
                <w:szCs w:val="18"/>
              </w:rPr>
              <w:t>三、社会保险责任评价</w:t>
            </w:r>
          </w:p>
        </w:tc>
        <w:tc>
          <w:tcPr>
            <w:tcW w:w="453" w:type="dxa"/>
            <w:vMerge w:val="restart"/>
            <w:noWrap/>
            <w:vAlign w:val="center"/>
          </w:tcPr>
          <w:p>
            <w:pPr>
              <w:widowControl/>
              <w:ind w:left="-63" w:leftChars="-30" w:right="-63" w:rightChars="-30"/>
              <w:jc w:val="center"/>
              <w:rPr>
                <w:b/>
                <w:bCs/>
                <w:color w:val="000000"/>
                <w:spacing w:val="-6"/>
                <w:kern w:val="0"/>
                <w:sz w:val="18"/>
                <w:szCs w:val="18"/>
              </w:rPr>
            </w:pPr>
            <w:r>
              <w:rPr>
                <w:b/>
                <w:bCs/>
                <w:color w:val="000000"/>
                <w:spacing w:val="-6"/>
                <w:kern w:val="0"/>
                <w:sz w:val="18"/>
                <w:szCs w:val="18"/>
              </w:rPr>
              <w:t>1</w:t>
            </w:r>
          </w:p>
        </w:tc>
        <w:tc>
          <w:tcPr>
            <w:tcW w:w="772" w:type="dxa"/>
            <w:vMerge w:val="restart"/>
            <w:noWrap/>
            <w:vAlign w:val="center"/>
          </w:tcPr>
          <w:p>
            <w:pPr>
              <w:widowControl/>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员工社会保险</w:t>
            </w:r>
          </w:p>
        </w:tc>
        <w:tc>
          <w:tcPr>
            <w:tcW w:w="5960" w:type="dxa"/>
            <w:vAlign w:val="center"/>
          </w:tcPr>
          <w:p>
            <w:pPr>
              <w:widowControl/>
              <w:ind w:left="-63" w:leftChars="-30" w:right="-63" w:rightChars="-30"/>
              <w:jc w:val="left"/>
              <w:rPr>
                <w:color w:val="000000"/>
                <w:spacing w:val="-6"/>
                <w:kern w:val="0"/>
                <w:sz w:val="18"/>
                <w:szCs w:val="18"/>
              </w:rPr>
            </w:pPr>
            <w:r>
              <w:rPr>
                <w:rFonts w:hint="eastAsia" w:hAnsi="宋体"/>
                <w:color w:val="000000"/>
                <w:spacing w:val="-6"/>
                <w:kern w:val="0"/>
                <w:sz w:val="18"/>
                <w:szCs w:val="18"/>
              </w:rPr>
              <w:t>企业应按国家规定执行职工社会保险制度（</w:t>
            </w:r>
            <w:r>
              <w:rPr>
                <w:rFonts w:hint="eastAsia"/>
                <w:color w:val="000000"/>
                <w:spacing w:val="-6"/>
                <w:kern w:val="0"/>
                <w:sz w:val="18"/>
                <w:szCs w:val="18"/>
              </w:rPr>
              <w:t>“</w:t>
            </w:r>
            <w:r>
              <w:rPr>
                <w:rFonts w:hint="eastAsia" w:hAnsi="宋体"/>
                <w:color w:val="000000"/>
                <w:spacing w:val="-6"/>
                <w:kern w:val="0"/>
                <w:sz w:val="18"/>
                <w:szCs w:val="18"/>
              </w:rPr>
              <w:t>五险</w:t>
            </w:r>
            <w:r>
              <w:rPr>
                <w:rFonts w:hint="eastAsia"/>
                <w:color w:val="000000"/>
                <w:spacing w:val="-6"/>
                <w:kern w:val="0"/>
                <w:sz w:val="18"/>
                <w:szCs w:val="18"/>
              </w:rPr>
              <w:t>”</w:t>
            </w:r>
            <w:r>
              <w:rPr>
                <w:color w:val="000000"/>
                <w:spacing w:val="-6"/>
                <w:kern w:val="0"/>
                <w:sz w:val="18"/>
                <w:szCs w:val="18"/>
              </w:rPr>
              <w:t>:</w:t>
            </w:r>
            <w:r>
              <w:rPr>
                <w:rFonts w:hint="eastAsia" w:hAnsi="宋体"/>
                <w:color w:val="000000"/>
                <w:spacing w:val="-6"/>
                <w:kern w:val="0"/>
                <w:sz w:val="18"/>
                <w:szCs w:val="18"/>
              </w:rPr>
              <w:t>养老险、医疗险、工伤险、失业险、生育险）和职工住房公积金制度。</w:t>
            </w:r>
          </w:p>
        </w:tc>
        <w:tc>
          <w:tcPr>
            <w:tcW w:w="502" w:type="dxa"/>
            <w:vMerge w:val="restart"/>
            <w:noWrap/>
            <w:vAlign w:val="center"/>
          </w:tcPr>
          <w:p>
            <w:pPr>
              <w:widowControl/>
              <w:ind w:left="-63" w:leftChars="-30" w:right="-63" w:rightChars="-30"/>
              <w:jc w:val="center"/>
              <w:rPr>
                <w:color w:val="000000"/>
                <w:spacing w:val="-6"/>
                <w:kern w:val="0"/>
                <w:sz w:val="18"/>
                <w:szCs w:val="18"/>
              </w:rPr>
            </w:pPr>
            <w:r>
              <w:rPr>
                <w:color w:val="000000"/>
                <w:spacing w:val="-6"/>
                <w:kern w:val="0"/>
                <w:sz w:val="18"/>
                <w:szCs w:val="18"/>
              </w:rPr>
              <w:t>—</w:t>
            </w:r>
          </w:p>
        </w:tc>
        <w:tc>
          <w:tcPr>
            <w:tcW w:w="540"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ind w:left="-63" w:leftChars="-30" w:right="-63" w:rightChars="-30"/>
              <w:jc w:val="center"/>
              <w:rPr>
                <w:color w:val="000000"/>
                <w:spacing w:val="-6"/>
                <w:kern w:val="0"/>
                <w:sz w:val="18"/>
                <w:szCs w:val="18"/>
              </w:rPr>
            </w:pPr>
            <w:r>
              <w:rPr>
                <w:color w:val="000000"/>
                <w:spacing w:val="-6"/>
                <w:kern w:val="0"/>
                <w:sz w:val="18"/>
                <w:szCs w:val="18"/>
              </w:rPr>
              <w:t>2</w:t>
            </w:r>
          </w:p>
        </w:tc>
        <w:tc>
          <w:tcPr>
            <w:tcW w:w="554" w:type="dxa"/>
            <w:vMerge w:val="restart"/>
            <w:noWrap/>
            <w:vAlign w:val="center"/>
          </w:tcPr>
          <w:p>
            <w:pPr>
              <w:widowControl/>
              <w:ind w:left="-63" w:leftChars="-30" w:right="-63" w:rightChars="-30"/>
              <w:jc w:val="center"/>
              <w:rPr>
                <w:color w:val="000000"/>
                <w:spacing w:val="-6"/>
                <w:kern w:val="0"/>
                <w:sz w:val="18"/>
                <w:szCs w:val="18"/>
              </w:rPr>
            </w:pPr>
            <w:r>
              <w:rPr>
                <w:color w:val="000000"/>
                <w:spacing w:val="-6"/>
                <w:kern w:val="0"/>
                <w:sz w:val="18"/>
                <w:szCs w:val="18"/>
              </w:rPr>
              <w:t>—</w:t>
            </w:r>
          </w:p>
        </w:tc>
        <w:tc>
          <w:tcPr>
            <w:tcW w:w="541"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ind w:left="-63" w:leftChars="-30" w:right="-63" w:rightChars="-30"/>
              <w:jc w:val="center"/>
              <w:rPr>
                <w:color w:val="000000"/>
                <w:spacing w:val="-6"/>
                <w:kern w:val="0"/>
                <w:sz w:val="18"/>
                <w:szCs w:val="18"/>
              </w:rPr>
            </w:pPr>
            <w:r>
              <w:rPr>
                <w:color w:val="000000"/>
                <w:spacing w:val="-6"/>
                <w:kern w:val="0"/>
                <w:sz w:val="18"/>
                <w:szCs w:val="18"/>
              </w:rPr>
              <w:t>4</w:t>
            </w:r>
          </w:p>
        </w:tc>
        <w:tc>
          <w:tcPr>
            <w:tcW w:w="606" w:type="dxa"/>
            <w:vMerge w:val="restart"/>
            <w:noWrap/>
            <w:vAlign w:val="center"/>
          </w:tcPr>
          <w:p>
            <w:pPr>
              <w:widowControl/>
              <w:ind w:left="-63" w:leftChars="-30" w:right="-63" w:rightChars="-30"/>
              <w:jc w:val="center"/>
              <w:rPr>
                <w:color w:val="000000"/>
                <w:spacing w:val="-6"/>
                <w:kern w:val="0"/>
                <w:sz w:val="18"/>
                <w:szCs w:val="18"/>
              </w:rPr>
            </w:pPr>
          </w:p>
        </w:tc>
        <w:tc>
          <w:tcPr>
            <w:tcW w:w="3214" w:type="dxa"/>
            <w:vMerge w:val="restart"/>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color w:val="000000"/>
                <w:spacing w:val="-6"/>
                <w:kern w:val="0"/>
                <w:sz w:val="18"/>
                <w:szCs w:val="18"/>
              </w:rPr>
              <w:t>、“期末企业人员合计”数：根据国家“工程造价咨询统计报表制度”，由信用评价系统从造价咨询企业年度统计报表</w:t>
            </w:r>
            <w:r>
              <w:rPr>
                <w:color w:val="000000"/>
                <w:spacing w:val="-6"/>
                <w:kern w:val="0"/>
                <w:sz w:val="18"/>
                <w:szCs w:val="18"/>
              </w:rPr>
              <w:t>2</w:t>
            </w:r>
            <w:r>
              <w:rPr>
                <w:rFonts w:hint="eastAsia"/>
                <w:color w:val="000000"/>
                <w:spacing w:val="-6"/>
                <w:kern w:val="0"/>
                <w:sz w:val="18"/>
                <w:szCs w:val="18"/>
              </w:rPr>
              <w:t>中提取数据，不需企业填写。</w:t>
            </w:r>
          </w:p>
          <w:p>
            <w:pPr>
              <w:widowControl/>
              <w:spacing w:line="240" w:lineRule="exact"/>
              <w:ind w:left="-63" w:leftChars="-30" w:right="-63" w:rightChars="-30"/>
              <w:rPr>
                <w:color w:val="000000"/>
                <w:spacing w:val="-6"/>
                <w:kern w:val="0"/>
                <w:sz w:val="18"/>
                <w:szCs w:val="18"/>
              </w:rPr>
            </w:pPr>
            <w:r>
              <w:rPr>
                <w:color w:val="000000"/>
                <w:spacing w:val="-6"/>
                <w:kern w:val="0"/>
                <w:sz w:val="18"/>
                <w:szCs w:val="18"/>
              </w:rPr>
              <w:t>2</w:t>
            </w:r>
            <w:r>
              <w:rPr>
                <w:rFonts w:hint="eastAsia"/>
                <w:color w:val="000000"/>
                <w:spacing w:val="-6"/>
                <w:kern w:val="0"/>
                <w:sz w:val="18"/>
                <w:szCs w:val="18"/>
              </w:rPr>
              <w:t>、“交缴社会保险金的员工人数”，由企业提供</w:t>
            </w:r>
            <w:r>
              <w:rPr>
                <w:color w:val="000000"/>
                <w:spacing w:val="-6"/>
                <w:kern w:val="0"/>
                <w:sz w:val="18"/>
                <w:szCs w:val="18"/>
              </w:rPr>
              <w:t>2020</w:t>
            </w:r>
            <w:r>
              <w:rPr>
                <w:rFonts w:hint="eastAsia"/>
                <w:color w:val="000000"/>
                <w:spacing w:val="-6"/>
                <w:kern w:val="0"/>
                <w:sz w:val="18"/>
                <w:szCs w:val="18"/>
              </w:rPr>
              <w:t>年检查当月前</w:t>
            </w:r>
            <w:r>
              <w:rPr>
                <w:color w:val="000000"/>
                <w:spacing w:val="-6"/>
                <w:kern w:val="0"/>
                <w:sz w:val="18"/>
                <w:szCs w:val="18"/>
              </w:rPr>
              <w:t>6</w:t>
            </w:r>
            <w:r>
              <w:rPr>
                <w:rFonts w:hint="eastAsia"/>
                <w:color w:val="000000"/>
                <w:spacing w:val="-6"/>
                <w:kern w:val="0"/>
                <w:sz w:val="18"/>
                <w:szCs w:val="18"/>
              </w:rPr>
              <w:t>个月的可供查证的五险缴纳清单和交费凭证，由信用评价专家小组在线填入。</w:t>
            </w:r>
          </w:p>
          <w:p>
            <w:pPr>
              <w:widowControl/>
              <w:spacing w:line="240" w:lineRule="exact"/>
              <w:ind w:left="-63" w:leftChars="-30" w:right="-63" w:rightChars="-30"/>
              <w:rPr>
                <w:color w:val="000000"/>
                <w:spacing w:val="-6"/>
                <w:kern w:val="0"/>
                <w:sz w:val="18"/>
                <w:szCs w:val="18"/>
              </w:rPr>
            </w:pPr>
            <w:r>
              <w:rPr>
                <w:color w:val="000000"/>
                <w:spacing w:val="-6"/>
                <w:kern w:val="0"/>
                <w:sz w:val="18"/>
                <w:szCs w:val="18"/>
              </w:rPr>
              <w:t>3</w:t>
            </w:r>
            <w:r>
              <w:rPr>
                <w:rFonts w:hint="eastAsia"/>
                <w:color w:val="000000"/>
                <w:spacing w:val="-6"/>
                <w:kern w:val="0"/>
                <w:sz w:val="18"/>
                <w:szCs w:val="18"/>
              </w:rPr>
              <w:t>、“交缴住房公积金的员工人数”，由企业提供</w:t>
            </w:r>
            <w:r>
              <w:rPr>
                <w:color w:val="000000"/>
                <w:spacing w:val="-6"/>
                <w:kern w:val="0"/>
                <w:sz w:val="18"/>
                <w:szCs w:val="18"/>
              </w:rPr>
              <w:t>2020</w:t>
            </w:r>
            <w:r>
              <w:rPr>
                <w:rFonts w:hint="eastAsia"/>
                <w:color w:val="000000"/>
                <w:spacing w:val="-6"/>
                <w:kern w:val="0"/>
                <w:sz w:val="18"/>
                <w:szCs w:val="18"/>
              </w:rPr>
              <w:t>年检查当月前</w:t>
            </w:r>
            <w:r>
              <w:rPr>
                <w:color w:val="000000"/>
                <w:spacing w:val="-6"/>
                <w:kern w:val="0"/>
                <w:sz w:val="18"/>
                <w:szCs w:val="18"/>
              </w:rPr>
              <w:t>6</w:t>
            </w:r>
            <w:r>
              <w:rPr>
                <w:rFonts w:hint="eastAsia"/>
                <w:color w:val="000000"/>
                <w:spacing w:val="-6"/>
                <w:kern w:val="0"/>
                <w:sz w:val="18"/>
                <w:szCs w:val="18"/>
              </w:rPr>
              <w:t>个月的可供查证的住房公积金交缴清单和交费凭证，由信用评价专家小组在线填入。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1" w:type="dxa"/>
            <w:vMerge w:val="continue"/>
            <w:vAlign w:val="center"/>
          </w:tcPr>
          <w:p>
            <w:pPr>
              <w:widowControl/>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ind w:left="-63" w:leftChars="-30" w:right="-63" w:rightChars="-30"/>
              <w:jc w:val="center"/>
              <w:rPr>
                <w:b/>
                <w:bCs/>
                <w:color w:val="000000"/>
                <w:spacing w:val="-6"/>
                <w:kern w:val="0"/>
                <w:sz w:val="18"/>
                <w:szCs w:val="18"/>
              </w:rPr>
            </w:pPr>
          </w:p>
        </w:tc>
        <w:tc>
          <w:tcPr>
            <w:tcW w:w="772" w:type="dxa"/>
            <w:vMerge w:val="continue"/>
            <w:vAlign w:val="center"/>
          </w:tcPr>
          <w:p>
            <w:pPr>
              <w:widowControl/>
              <w:ind w:left="-63" w:leftChars="-30" w:right="-63" w:rightChars="-30"/>
              <w:jc w:val="left"/>
              <w:rPr>
                <w:b/>
                <w:bCs/>
                <w:color w:val="000000"/>
                <w:spacing w:val="-6"/>
                <w:kern w:val="0"/>
                <w:sz w:val="18"/>
                <w:szCs w:val="18"/>
              </w:rPr>
            </w:pPr>
          </w:p>
        </w:tc>
        <w:tc>
          <w:tcPr>
            <w:tcW w:w="5960" w:type="dxa"/>
            <w:vAlign w:val="center"/>
          </w:tcPr>
          <w:p>
            <w:pPr>
              <w:widowControl/>
              <w:ind w:left="-63" w:leftChars="-30" w:right="-63" w:rightChars="-30"/>
              <w:jc w:val="left"/>
              <w:rPr>
                <w:color w:val="000000"/>
                <w:spacing w:val="-6"/>
                <w:kern w:val="0"/>
                <w:sz w:val="18"/>
                <w:szCs w:val="18"/>
              </w:rPr>
            </w:pPr>
            <w:r>
              <w:rPr>
                <w:rFonts w:hint="eastAsia" w:hAnsi="宋体"/>
                <w:color w:val="000000"/>
                <w:spacing w:val="-6"/>
                <w:kern w:val="0"/>
                <w:sz w:val="18"/>
                <w:szCs w:val="18"/>
              </w:rPr>
              <w:t>企业</w:t>
            </w: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期末企业人员合计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人。其中：</w:t>
            </w:r>
          </w:p>
          <w:p>
            <w:pPr>
              <w:widowControl/>
              <w:ind w:left="-63" w:leftChars="-30" w:right="-63" w:rightChars="-30"/>
              <w:jc w:val="left"/>
              <w:rPr>
                <w:color w:val="000000"/>
                <w:spacing w:val="-6"/>
                <w:kern w:val="0"/>
                <w:sz w:val="18"/>
                <w:szCs w:val="18"/>
              </w:rPr>
            </w:pPr>
            <w:r>
              <w:rPr>
                <w:rFonts w:hint="eastAsia" w:hAnsi="宋体"/>
                <w:color w:val="000000"/>
                <w:spacing w:val="-6"/>
                <w:kern w:val="0"/>
                <w:sz w:val="18"/>
                <w:szCs w:val="18"/>
              </w:rPr>
              <w:t>交缴社会保险金的员工人数</w:t>
            </w:r>
            <w:r>
              <w:rPr>
                <w:color w:val="000000"/>
                <w:spacing w:val="-6"/>
                <w:kern w:val="0"/>
                <w:sz w:val="18"/>
                <w:szCs w:val="18"/>
                <w:u w:val="single"/>
              </w:rPr>
              <w:t xml:space="preserve">                  </w:t>
            </w:r>
            <w:r>
              <w:rPr>
                <w:rFonts w:hint="eastAsia" w:hAnsi="宋体"/>
                <w:color w:val="000000"/>
                <w:spacing w:val="-6"/>
                <w:kern w:val="0"/>
                <w:sz w:val="18"/>
                <w:szCs w:val="18"/>
              </w:rPr>
              <w:t>人；</w:t>
            </w:r>
          </w:p>
          <w:p>
            <w:pPr>
              <w:widowControl/>
              <w:ind w:left="-63" w:leftChars="-30" w:right="-63" w:rightChars="-30"/>
              <w:jc w:val="left"/>
              <w:rPr>
                <w:color w:val="000000"/>
                <w:spacing w:val="-6"/>
                <w:kern w:val="0"/>
                <w:sz w:val="18"/>
                <w:szCs w:val="18"/>
              </w:rPr>
            </w:pPr>
            <w:r>
              <w:rPr>
                <w:rFonts w:hint="eastAsia" w:hAnsi="宋体"/>
                <w:color w:val="000000"/>
                <w:spacing w:val="-6"/>
                <w:kern w:val="0"/>
                <w:sz w:val="18"/>
                <w:szCs w:val="18"/>
              </w:rPr>
              <w:t>交缴住房公积金的员工人数</w:t>
            </w:r>
            <w:r>
              <w:rPr>
                <w:color w:val="000000"/>
                <w:spacing w:val="-6"/>
                <w:kern w:val="0"/>
                <w:sz w:val="18"/>
                <w:szCs w:val="18"/>
                <w:u w:val="single"/>
              </w:rPr>
              <w:t xml:space="preserve">                  </w:t>
            </w:r>
            <w:r>
              <w:rPr>
                <w:rFonts w:hint="eastAsia" w:hAnsi="宋体"/>
                <w:color w:val="000000"/>
                <w:spacing w:val="-6"/>
                <w:kern w:val="0"/>
                <w:sz w:val="18"/>
                <w:szCs w:val="18"/>
              </w:rPr>
              <w:t>人。</w:t>
            </w:r>
          </w:p>
        </w:tc>
        <w:tc>
          <w:tcPr>
            <w:tcW w:w="502" w:type="dxa"/>
            <w:vMerge w:val="continue"/>
            <w:vAlign w:val="center"/>
          </w:tcPr>
          <w:p>
            <w:pPr>
              <w:widowControl/>
              <w:ind w:left="-63" w:leftChars="-30" w:right="-63" w:rightChars="-30"/>
              <w:jc w:val="center"/>
              <w:rPr>
                <w:color w:val="000000"/>
                <w:spacing w:val="-6"/>
                <w:kern w:val="0"/>
                <w:sz w:val="18"/>
                <w:szCs w:val="18"/>
              </w:rPr>
            </w:pPr>
          </w:p>
        </w:tc>
        <w:tc>
          <w:tcPr>
            <w:tcW w:w="540" w:type="dxa"/>
            <w:vMerge w:val="continue"/>
            <w:vAlign w:val="center"/>
          </w:tcPr>
          <w:p>
            <w:pPr>
              <w:widowControl/>
              <w:ind w:left="-63" w:leftChars="-30" w:right="-63" w:rightChars="-30"/>
              <w:jc w:val="center"/>
              <w:rPr>
                <w:color w:val="000000"/>
                <w:spacing w:val="-6"/>
                <w:kern w:val="0"/>
                <w:sz w:val="18"/>
                <w:szCs w:val="18"/>
              </w:rPr>
            </w:pPr>
          </w:p>
        </w:tc>
        <w:tc>
          <w:tcPr>
            <w:tcW w:w="438" w:type="dxa"/>
            <w:vMerge w:val="continue"/>
            <w:vAlign w:val="center"/>
          </w:tcPr>
          <w:p>
            <w:pPr>
              <w:widowControl/>
              <w:ind w:left="-63" w:leftChars="-30" w:right="-63" w:rightChars="-30"/>
              <w:jc w:val="center"/>
              <w:rPr>
                <w:color w:val="000000"/>
                <w:spacing w:val="-6"/>
                <w:kern w:val="0"/>
                <w:sz w:val="18"/>
                <w:szCs w:val="18"/>
              </w:rPr>
            </w:pPr>
          </w:p>
        </w:tc>
        <w:tc>
          <w:tcPr>
            <w:tcW w:w="554" w:type="dxa"/>
            <w:vMerge w:val="continue"/>
            <w:vAlign w:val="center"/>
          </w:tcPr>
          <w:p>
            <w:pPr>
              <w:widowControl/>
              <w:ind w:left="-63" w:leftChars="-30" w:right="-63" w:rightChars="-30"/>
              <w:jc w:val="center"/>
              <w:rPr>
                <w:color w:val="000000"/>
                <w:spacing w:val="-6"/>
                <w:kern w:val="0"/>
                <w:sz w:val="18"/>
                <w:szCs w:val="18"/>
              </w:rPr>
            </w:pPr>
          </w:p>
        </w:tc>
        <w:tc>
          <w:tcPr>
            <w:tcW w:w="541" w:type="dxa"/>
            <w:vMerge w:val="continue"/>
            <w:vAlign w:val="center"/>
          </w:tcPr>
          <w:p>
            <w:pPr>
              <w:widowControl/>
              <w:ind w:left="-63" w:leftChars="-30" w:right="-63" w:rightChars="-30"/>
              <w:jc w:val="center"/>
              <w:rPr>
                <w:color w:val="000000"/>
                <w:spacing w:val="-6"/>
                <w:kern w:val="0"/>
                <w:sz w:val="18"/>
                <w:szCs w:val="18"/>
              </w:rPr>
            </w:pPr>
          </w:p>
        </w:tc>
        <w:tc>
          <w:tcPr>
            <w:tcW w:w="509" w:type="dxa"/>
            <w:vMerge w:val="continue"/>
            <w:vAlign w:val="center"/>
          </w:tcPr>
          <w:p>
            <w:pPr>
              <w:widowControl/>
              <w:ind w:left="-63" w:leftChars="-30" w:right="-63" w:rightChars="-30"/>
              <w:jc w:val="center"/>
              <w:rPr>
                <w:color w:val="000000"/>
                <w:spacing w:val="-6"/>
                <w:kern w:val="0"/>
                <w:sz w:val="18"/>
                <w:szCs w:val="18"/>
              </w:rPr>
            </w:pPr>
          </w:p>
        </w:tc>
        <w:tc>
          <w:tcPr>
            <w:tcW w:w="606" w:type="dxa"/>
            <w:vMerge w:val="continue"/>
            <w:vAlign w:val="center"/>
          </w:tcPr>
          <w:p>
            <w:pPr>
              <w:widowControl/>
              <w:ind w:left="-63" w:leftChars="-30" w:right="-63" w:rightChars="-30"/>
              <w:jc w:val="center"/>
              <w:rPr>
                <w:color w:val="000000"/>
                <w:spacing w:val="-6"/>
                <w:kern w:val="0"/>
                <w:sz w:val="18"/>
                <w:szCs w:val="18"/>
              </w:rPr>
            </w:pPr>
          </w:p>
        </w:tc>
        <w:tc>
          <w:tcPr>
            <w:tcW w:w="3214" w:type="dxa"/>
            <w:vMerge w:val="continue"/>
            <w:vAlign w:val="center"/>
          </w:tcPr>
          <w:p>
            <w:pPr>
              <w:widowControl/>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1" w:type="dxa"/>
            <w:vMerge w:val="continue"/>
            <w:vAlign w:val="center"/>
          </w:tcPr>
          <w:p>
            <w:pPr>
              <w:widowControl/>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ind w:left="-63" w:leftChars="-30" w:right="-63" w:rightChars="-30"/>
              <w:jc w:val="center"/>
              <w:rPr>
                <w:b/>
                <w:bCs/>
                <w:color w:val="000000"/>
                <w:spacing w:val="-6"/>
                <w:kern w:val="0"/>
                <w:sz w:val="18"/>
                <w:szCs w:val="18"/>
              </w:rPr>
            </w:pPr>
          </w:p>
        </w:tc>
        <w:tc>
          <w:tcPr>
            <w:tcW w:w="772" w:type="dxa"/>
            <w:vMerge w:val="continue"/>
            <w:vAlign w:val="center"/>
          </w:tcPr>
          <w:p>
            <w:pPr>
              <w:widowControl/>
              <w:ind w:left="-63" w:leftChars="-30" w:right="-63" w:rightChars="-30"/>
              <w:jc w:val="left"/>
              <w:rPr>
                <w:b/>
                <w:bCs/>
                <w:color w:val="000000"/>
                <w:spacing w:val="-6"/>
                <w:kern w:val="0"/>
                <w:sz w:val="18"/>
                <w:szCs w:val="18"/>
              </w:rPr>
            </w:pPr>
          </w:p>
        </w:tc>
        <w:tc>
          <w:tcPr>
            <w:tcW w:w="5960" w:type="dxa"/>
            <w:vAlign w:val="center"/>
          </w:tcPr>
          <w:p>
            <w:pPr>
              <w:widowControl/>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、交缴社会保险金的员工人数与</w:t>
            </w:r>
            <w:r>
              <w:rPr>
                <w:rFonts w:hint="eastAsia"/>
                <w:color w:val="000000"/>
                <w:spacing w:val="-6"/>
                <w:kern w:val="0"/>
                <w:sz w:val="18"/>
                <w:szCs w:val="18"/>
              </w:rPr>
              <w:t>“</w:t>
            </w:r>
            <w:r>
              <w:rPr>
                <w:rFonts w:hint="eastAsia" w:hAnsi="宋体"/>
                <w:color w:val="000000"/>
                <w:spacing w:val="-6"/>
                <w:kern w:val="0"/>
                <w:sz w:val="18"/>
                <w:szCs w:val="18"/>
              </w:rPr>
              <w:t>期末企业人员合计</w:t>
            </w:r>
            <w:r>
              <w:rPr>
                <w:rFonts w:hint="eastAsia"/>
                <w:color w:val="000000"/>
                <w:spacing w:val="-6"/>
                <w:kern w:val="0"/>
                <w:sz w:val="18"/>
                <w:szCs w:val="18"/>
              </w:rPr>
              <w:t>”</w:t>
            </w:r>
            <w:r>
              <w:rPr>
                <w:rFonts w:hint="eastAsia" w:hAnsi="宋体"/>
                <w:color w:val="000000"/>
                <w:spacing w:val="-6"/>
                <w:kern w:val="0"/>
                <w:sz w:val="18"/>
                <w:szCs w:val="18"/>
              </w:rPr>
              <w:t>相比较，按缺保或漏保人数计，每缺漏一人项计减</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ind w:left="-63" w:leftChars="-30" w:right="-63" w:rightChars="-30"/>
              <w:jc w:val="center"/>
              <w:rPr>
                <w:color w:val="000000"/>
                <w:spacing w:val="-6"/>
                <w:kern w:val="0"/>
                <w:sz w:val="18"/>
                <w:szCs w:val="18"/>
              </w:rPr>
            </w:pPr>
          </w:p>
        </w:tc>
        <w:tc>
          <w:tcPr>
            <w:tcW w:w="540" w:type="dxa"/>
            <w:vAlign w:val="center"/>
          </w:tcPr>
          <w:p>
            <w:pPr>
              <w:widowControl/>
              <w:ind w:left="-63" w:leftChars="-30" w:right="-63" w:rightChars="-30"/>
              <w:jc w:val="center"/>
              <w:rPr>
                <w:color w:val="000000"/>
                <w:spacing w:val="-6"/>
                <w:kern w:val="0"/>
                <w:sz w:val="18"/>
                <w:szCs w:val="18"/>
              </w:rPr>
            </w:pPr>
          </w:p>
        </w:tc>
        <w:tc>
          <w:tcPr>
            <w:tcW w:w="438" w:type="dxa"/>
            <w:vMerge w:val="continue"/>
            <w:vAlign w:val="center"/>
          </w:tcPr>
          <w:p>
            <w:pPr>
              <w:widowControl/>
              <w:ind w:left="-63" w:leftChars="-30" w:right="-63" w:rightChars="-30"/>
              <w:jc w:val="center"/>
              <w:rPr>
                <w:color w:val="000000"/>
                <w:spacing w:val="-6"/>
                <w:kern w:val="0"/>
                <w:sz w:val="18"/>
                <w:szCs w:val="18"/>
              </w:rPr>
            </w:pPr>
          </w:p>
        </w:tc>
        <w:tc>
          <w:tcPr>
            <w:tcW w:w="554" w:type="dxa"/>
            <w:noWrap/>
            <w:vAlign w:val="center"/>
          </w:tcPr>
          <w:p>
            <w:pPr>
              <w:widowControl/>
              <w:ind w:left="-63" w:leftChars="-30" w:right="-63" w:rightChars="-30"/>
              <w:jc w:val="center"/>
              <w:rPr>
                <w:color w:val="000000"/>
                <w:spacing w:val="-6"/>
                <w:kern w:val="0"/>
                <w:sz w:val="18"/>
                <w:szCs w:val="18"/>
              </w:rPr>
            </w:pPr>
          </w:p>
        </w:tc>
        <w:tc>
          <w:tcPr>
            <w:tcW w:w="541" w:type="dxa"/>
            <w:vAlign w:val="center"/>
          </w:tcPr>
          <w:p>
            <w:pPr>
              <w:widowControl/>
              <w:ind w:left="-63" w:leftChars="-30" w:right="-63" w:rightChars="-30"/>
              <w:jc w:val="center"/>
              <w:rPr>
                <w:color w:val="000000"/>
                <w:spacing w:val="-6"/>
                <w:kern w:val="0"/>
                <w:sz w:val="18"/>
                <w:szCs w:val="18"/>
              </w:rPr>
            </w:pPr>
          </w:p>
        </w:tc>
        <w:tc>
          <w:tcPr>
            <w:tcW w:w="509" w:type="dxa"/>
            <w:vMerge w:val="continue"/>
            <w:vAlign w:val="center"/>
          </w:tcPr>
          <w:p>
            <w:pPr>
              <w:widowControl/>
              <w:ind w:left="-63" w:leftChars="-30" w:right="-63" w:rightChars="-30"/>
              <w:jc w:val="center"/>
              <w:rPr>
                <w:color w:val="000000"/>
                <w:spacing w:val="-6"/>
                <w:kern w:val="0"/>
                <w:sz w:val="18"/>
                <w:szCs w:val="18"/>
              </w:rPr>
            </w:pPr>
          </w:p>
        </w:tc>
        <w:tc>
          <w:tcPr>
            <w:tcW w:w="606" w:type="dxa"/>
            <w:vMerge w:val="continue"/>
            <w:vAlign w:val="center"/>
          </w:tcPr>
          <w:p>
            <w:pPr>
              <w:widowControl/>
              <w:ind w:left="-63" w:leftChars="-30" w:right="-63" w:rightChars="-30"/>
              <w:jc w:val="center"/>
              <w:rPr>
                <w:color w:val="000000"/>
                <w:spacing w:val="-6"/>
                <w:kern w:val="0"/>
                <w:sz w:val="18"/>
                <w:szCs w:val="18"/>
              </w:rPr>
            </w:pPr>
          </w:p>
        </w:tc>
        <w:tc>
          <w:tcPr>
            <w:tcW w:w="3214" w:type="dxa"/>
            <w:vMerge w:val="continue"/>
            <w:vAlign w:val="center"/>
          </w:tcPr>
          <w:p>
            <w:pPr>
              <w:widowControl/>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widowControl/>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ind w:left="-63" w:leftChars="-30" w:right="-63" w:rightChars="-30"/>
              <w:jc w:val="center"/>
              <w:rPr>
                <w:b/>
                <w:bCs/>
                <w:color w:val="000000"/>
                <w:spacing w:val="-6"/>
                <w:kern w:val="0"/>
                <w:sz w:val="18"/>
                <w:szCs w:val="18"/>
              </w:rPr>
            </w:pPr>
          </w:p>
        </w:tc>
        <w:tc>
          <w:tcPr>
            <w:tcW w:w="772" w:type="dxa"/>
            <w:vMerge w:val="continue"/>
            <w:vAlign w:val="center"/>
          </w:tcPr>
          <w:p>
            <w:pPr>
              <w:widowControl/>
              <w:ind w:left="-63" w:leftChars="-30" w:right="-63" w:rightChars="-30"/>
              <w:jc w:val="left"/>
              <w:rPr>
                <w:b/>
                <w:bCs/>
                <w:color w:val="000000"/>
                <w:spacing w:val="-6"/>
                <w:kern w:val="0"/>
                <w:sz w:val="18"/>
                <w:szCs w:val="18"/>
              </w:rPr>
            </w:pPr>
          </w:p>
        </w:tc>
        <w:tc>
          <w:tcPr>
            <w:tcW w:w="5960" w:type="dxa"/>
            <w:vAlign w:val="center"/>
          </w:tcPr>
          <w:p>
            <w:pPr>
              <w:widowControl/>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、按交缴住房公积金的员工人数计，每人计加</w:t>
            </w:r>
            <w:r>
              <w:rPr>
                <w:color w:val="000000"/>
                <w:spacing w:val="-6"/>
                <w:kern w:val="0"/>
                <w:sz w:val="18"/>
                <w:szCs w:val="18"/>
              </w:rPr>
              <w:t>0.1</w:t>
            </w:r>
            <w:r>
              <w:rPr>
                <w:rFonts w:hint="eastAsia" w:hAnsi="宋体"/>
                <w:color w:val="000000"/>
                <w:spacing w:val="-6"/>
                <w:kern w:val="0"/>
                <w:sz w:val="18"/>
                <w:szCs w:val="18"/>
              </w:rPr>
              <w:t>分。</w:t>
            </w:r>
          </w:p>
        </w:tc>
        <w:tc>
          <w:tcPr>
            <w:tcW w:w="502" w:type="dxa"/>
            <w:noWrap/>
            <w:vAlign w:val="center"/>
          </w:tcPr>
          <w:p>
            <w:pPr>
              <w:widowControl/>
              <w:ind w:left="-63" w:leftChars="-30" w:right="-63" w:rightChars="-30"/>
              <w:jc w:val="center"/>
              <w:rPr>
                <w:color w:val="000000"/>
                <w:spacing w:val="-6"/>
                <w:kern w:val="0"/>
                <w:sz w:val="18"/>
                <w:szCs w:val="18"/>
              </w:rPr>
            </w:pPr>
          </w:p>
        </w:tc>
        <w:tc>
          <w:tcPr>
            <w:tcW w:w="540" w:type="dxa"/>
            <w:vAlign w:val="center"/>
          </w:tcPr>
          <w:p>
            <w:pPr>
              <w:widowControl/>
              <w:ind w:left="-63" w:leftChars="-30" w:right="-63" w:rightChars="-30"/>
              <w:jc w:val="center"/>
              <w:rPr>
                <w:color w:val="000000"/>
                <w:spacing w:val="-6"/>
                <w:kern w:val="0"/>
                <w:sz w:val="18"/>
                <w:szCs w:val="18"/>
              </w:rPr>
            </w:pPr>
          </w:p>
        </w:tc>
        <w:tc>
          <w:tcPr>
            <w:tcW w:w="438" w:type="dxa"/>
            <w:vMerge w:val="continue"/>
            <w:vAlign w:val="center"/>
          </w:tcPr>
          <w:p>
            <w:pPr>
              <w:widowControl/>
              <w:ind w:left="-63" w:leftChars="-30" w:right="-63" w:rightChars="-30"/>
              <w:jc w:val="center"/>
              <w:rPr>
                <w:color w:val="000000"/>
                <w:spacing w:val="-6"/>
                <w:kern w:val="0"/>
                <w:sz w:val="18"/>
                <w:szCs w:val="18"/>
              </w:rPr>
            </w:pPr>
          </w:p>
        </w:tc>
        <w:tc>
          <w:tcPr>
            <w:tcW w:w="554" w:type="dxa"/>
            <w:noWrap/>
            <w:vAlign w:val="center"/>
          </w:tcPr>
          <w:p>
            <w:pPr>
              <w:widowControl/>
              <w:ind w:left="-63" w:leftChars="-30" w:right="-63" w:rightChars="-30"/>
              <w:jc w:val="center"/>
              <w:rPr>
                <w:color w:val="000000"/>
                <w:spacing w:val="-6"/>
                <w:kern w:val="0"/>
                <w:sz w:val="18"/>
                <w:szCs w:val="18"/>
              </w:rPr>
            </w:pPr>
          </w:p>
        </w:tc>
        <w:tc>
          <w:tcPr>
            <w:tcW w:w="541" w:type="dxa"/>
            <w:vAlign w:val="center"/>
          </w:tcPr>
          <w:p>
            <w:pPr>
              <w:widowControl/>
              <w:ind w:left="-63" w:leftChars="-30" w:right="-63" w:rightChars="-30"/>
              <w:jc w:val="center"/>
              <w:rPr>
                <w:color w:val="000000"/>
                <w:spacing w:val="-6"/>
                <w:kern w:val="0"/>
                <w:sz w:val="18"/>
                <w:szCs w:val="18"/>
              </w:rPr>
            </w:pPr>
          </w:p>
        </w:tc>
        <w:tc>
          <w:tcPr>
            <w:tcW w:w="509" w:type="dxa"/>
            <w:vMerge w:val="continue"/>
            <w:vAlign w:val="center"/>
          </w:tcPr>
          <w:p>
            <w:pPr>
              <w:widowControl/>
              <w:ind w:left="-63" w:leftChars="-30" w:right="-63" w:rightChars="-30"/>
              <w:jc w:val="center"/>
              <w:rPr>
                <w:color w:val="000000"/>
                <w:spacing w:val="-6"/>
                <w:kern w:val="0"/>
                <w:sz w:val="18"/>
                <w:szCs w:val="18"/>
              </w:rPr>
            </w:pPr>
          </w:p>
        </w:tc>
        <w:tc>
          <w:tcPr>
            <w:tcW w:w="606" w:type="dxa"/>
            <w:vMerge w:val="continue"/>
            <w:vAlign w:val="center"/>
          </w:tcPr>
          <w:p>
            <w:pPr>
              <w:widowControl/>
              <w:ind w:left="-63" w:leftChars="-30" w:right="-63" w:rightChars="-30"/>
              <w:jc w:val="center"/>
              <w:rPr>
                <w:color w:val="000000"/>
                <w:spacing w:val="-6"/>
                <w:kern w:val="0"/>
                <w:sz w:val="18"/>
                <w:szCs w:val="18"/>
              </w:rPr>
            </w:pPr>
          </w:p>
        </w:tc>
        <w:tc>
          <w:tcPr>
            <w:tcW w:w="3214" w:type="dxa"/>
            <w:vMerge w:val="continue"/>
            <w:vAlign w:val="center"/>
          </w:tcPr>
          <w:p>
            <w:pPr>
              <w:widowControl/>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restart"/>
            <w:vAlign w:val="center"/>
          </w:tcPr>
          <w:p>
            <w:pPr>
              <w:spacing w:line="240" w:lineRule="exact"/>
              <w:ind w:left="-63" w:leftChars="-30" w:right="-63" w:rightChars="-30"/>
              <w:jc w:val="left"/>
              <w:rPr>
                <w:rFonts w:eastAsia="方正黑体_GBK"/>
                <w:color w:val="000000"/>
                <w:spacing w:val="-6"/>
                <w:kern w:val="0"/>
                <w:sz w:val="18"/>
                <w:szCs w:val="18"/>
              </w:rPr>
            </w:pPr>
            <w:r>
              <w:rPr>
                <w:rFonts w:hint="eastAsia" w:eastAsia="方正黑体_GBK"/>
                <w:color w:val="000000"/>
                <w:spacing w:val="-6"/>
                <w:kern w:val="0"/>
                <w:sz w:val="18"/>
                <w:szCs w:val="18"/>
              </w:rPr>
              <w:t>四、咨询管理信用评价</w:t>
            </w: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1</w:t>
            </w:r>
          </w:p>
        </w:tc>
        <w:tc>
          <w:tcPr>
            <w:tcW w:w="772"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合同管理</w:t>
            </w:r>
          </w:p>
        </w:tc>
        <w:tc>
          <w:tcPr>
            <w:tcW w:w="5960" w:type="dxa"/>
            <w:vAlign w:val="center"/>
          </w:tcPr>
          <w:p>
            <w:pPr>
              <w:widowControl/>
              <w:spacing w:line="24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企业咨询业务合同应当全数归档，台账清楚，信息完整，查询方便。</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1</w:t>
            </w: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widowControl/>
              <w:spacing w:line="240" w:lineRule="exact"/>
              <w:ind w:left="-63" w:leftChars="-30" w:right="-63" w:rightChars="-30"/>
              <w:rPr>
                <w:rFonts w:hAnsi="宋体"/>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、从省造价管理总站的企业监管系统中随机确定三个咨询项目名单（其中</w:t>
            </w:r>
            <w:r>
              <w:rPr>
                <w:rFonts w:hAnsi="宋体"/>
                <w:color w:val="000000"/>
                <w:spacing w:val="-6"/>
                <w:kern w:val="0"/>
                <w:sz w:val="18"/>
                <w:szCs w:val="18"/>
              </w:rPr>
              <w:t>2018</w:t>
            </w:r>
            <w:r>
              <w:rPr>
                <w:rFonts w:hint="eastAsia" w:hAnsi="宋体"/>
                <w:color w:val="000000"/>
                <w:spacing w:val="-6"/>
                <w:kern w:val="0"/>
                <w:sz w:val="18"/>
                <w:szCs w:val="18"/>
              </w:rPr>
              <w:t>年、</w:t>
            </w:r>
            <w:r>
              <w:rPr>
                <w:rFonts w:hAnsi="宋体"/>
                <w:color w:val="000000"/>
                <w:spacing w:val="-6"/>
                <w:kern w:val="0"/>
                <w:sz w:val="18"/>
                <w:szCs w:val="18"/>
              </w:rPr>
              <w:t>2019</w:t>
            </w:r>
            <w:r>
              <w:rPr>
                <w:rFonts w:hint="eastAsia" w:hAnsi="宋体"/>
                <w:color w:val="000000"/>
                <w:spacing w:val="-6"/>
                <w:kern w:val="0"/>
                <w:sz w:val="18"/>
                <w:szCs w:val="18"/>
              </w:rPr>
              <w:t>年、</w:t>
            </w:r>
            <w:r>
              <w:rPr>
                <w:rFonts w:hAnsi="宋体"/>
                <w:color w:val="000000"/>
                <w:spacing w:val="-6"/>
                <w:kern w:val="0"/>
                <w:sz w:val="18"/>
                <w:szCs w:val="18"/>
              </w:rPr>
              <w:t>2020</w:t>
            </w:r>
            <w:r>
              <w:rPr>
                <w:rFonts w:hint="eastAsia" w:hAnsi="宋体"/>
                <w:color w:val="000000"/>
                <w:spacing w:val="-6"/>
                <w:kern w:val="0"/>
                <w:sz w:val="18"/>
                <w:szCs w:val="18"/>
              </w:rPr>
              <w:t>年各</w:t>
            </w:r>
            <w:r>
              <w:rPr>
                <w:rFonts w:hAnsi="宋体"/>
                <w:color w:val="000000"/>
                <w:spacing w:val="-6"/>
                <w:kern w:val="0"/>
                <w:sz w:val="18"/>
                <w:szCs w:val="18"/>
              </w:rPr>
              <w:t>1</w:t>
            </w:r>
            <w:r>
              <w:rPr>
                <w:rFonts w:hint="eastAsia" w:hAnsi="宋体"/>
                <w:color w:val="000000"/>
                <w:spacing w:val="-6"/>
                <w:kern w:val="0"/>
                <w:sz w:val="18"/>
                <w:szCs w:val="18"/>
              </w:rPr>
              <w:t>个）。</w:t>
            </w:r>
          </w:p>
          <w:p>
            <w:pPr>
              <w:spacing w:line="240" w:lineRule="exact"/>
              <w:ind w:left="-63" w:leftChars="-30" w:right="-63" w:rightChars="-30"/>
              <w:rPr>
                <w:rFonts w:hAnsi="宋体"/>
                <w:color w:val="000000"/>
                <w:spacing w:val="-6"/>
                <w:kern w:val="0"/>
                <w:sz w:val="18"/>
                <w:szCs w:val="18"/>
              </w:rPr>
            </w:pPr>
            <w:r>
              <w:rPr>
                <w:rFonts w:hAnsi="宋体"/>
                <w:color w:val="000000"/>
                <w:spacing w:val="-6"/>
                <w:kern w:val="0"/>
                <w:sz w:val="18"/>
                <w:szCs w:val="18"/>
              </w:rPr>
              <w:t>2</w:t>
            </w:r>
            <w:r>
              <w:rPr>
                <w:rFonts w:hint="eastAsia" w:hAnsi="宋体"/>
                <w:color w:val="000000"/>
                <w:spacing w:val="-6"/>
                <w:kern w:val="0"/>
                <w:sz w:val="18"/>
                <w:szCs w:val="18"/>
              </w:rPr>
              <w:t>、调阅被查的三个项目咨询成果纸质文档和的电子档，检查咨询项目档案、合同管理、流程控制、质量控制、咨询报告书，并给予评价赋分。</w:t>
            </w:r>
          </w:p>
          <w:p>
            <w:pPr>
              <w:spacing w:line="240" w:lineRule="exact"/>
              <w:ind w:left="-63" w:leftChars="-30" w:right="-63" w:rightChars="-30"/>
              <w:rPr>
                <w:rFonts w:hAnsi="宋体"/>
                <w:color w:val="000000"/>
                <w:spacing w:val="-6"/>
                <w:kern w:val="0"/>
                <w:sz w:val="18"/>
                <w:szCs w:val="18"/>
              </w:rPr>
            </w:pPr>
            <w:r>
              <w:rPr>
                <w:rFonts w:hAnsi="宋体"/>
                <w:color w:val="000000"/>
                <w:spacing w:val="-6"/>
                <w:kern w:val="0"/>
                <w:sz w:val="18"/>
                <w:szCs w:val="18"/>
              </w:rPr>
              <w:t>3</w:t>
            </w:r>
            <w:r>
              <w:rPr>
                <w:rFonts w:hint="eastAsia" w:hAnsi="宋体"/>
                <w:color w:val="000000"/>
                <w:spacing w:val="-6"/>
                <w:kern w:val="0"/>
                <w:sz w:val="18"/>
                <w:szCs w:val="18"/>
              </w:rPr>
              <w:t>、信用评价专家小组现场抽查企业的有关管理制度执行情况。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、企业没有合同管理台帐的，计减</w:t>
            </w:r>
            <w:r>
              <w:rPr>
                <w:color w:val="000000"/>
                <w:spacing w:val="-6"/>
                <w:kern w:val="0"/>
                <w:sz w:val="18"/>
                <w:szCs w:val="18"/>
              </w:rPr>
              <w:t>0.5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、企业咨询业务合同缺失的，按缺失合同份数计减</w:t>
            </w:r>
            <w:r>
              <w:rPr>
                <w:color w:val="000000"/>
                <w:spacing w:val="-6"/>
                <w:kern w:val="0"/>
                <w:sz w:val="18"/>
                <w:szCs w:val="18"/>
              </w:rPr>
              <w:t>0.5</w:t>
            </w:r>
            <w:r>
              <w:rPr>
                <w:rFonts w:hint="eastAsia" w:hAnsi="宋体"/>
                <w:color w:val="000000"/>
                <w:spacing w:val="-6"/>
                <w:kern w:val="0"/>
                <w:sz w:val="18"/>
                <w:szCs w:val="18"/>
              </w:rPr>
              <w:t>分</w:t>
            </w:r>
            <w:r>
              <w:rPr>
                <w:color w:val="000000"/>
                <w:spacing w:val="-6"/>
                <w:kern w:val="0"/>
                <w:sz w:val="18"/>
                <w:szCs w:val="18"/>
              </w:rPr>
              <w:t>/</w:t>
            </w:r>
            <w:r>
              <w:rPr>
                <w:rFonts w:hint="eastAsia" w:hAnsi="宋体"/>
                <w:color w:val="000000"/>
                <w:spacing w:val="-6"/>
                <w:kern w:val="0"/>
                <w:sz w:val="18"/>
                <w:szCs w:val="18"/>
              </w:rPr>
              <w:t>份。</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、企业承接业务未签订咨询合同的，每发现一例计减</w:t>
            </w:r>
            <w:r>
              <w:rPr>
                <w:color w:val="000000"/>
                <w:spacing w:val="-6"/>
                <w:kern w:val="0"/>
                <w:sz w:val="18"/>
                <w:szCs w:val="18"/>
              </w:rPr>
              <w:t>0.5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2</w:t>
            </w:r>
          </w:p>
        </w:tc>
        <w:tc>
          <w:tcPr>
            <w:tcW w:w="772"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流程控制</w:t>
            </w:r>
          </w:p>
        </w:tc>
        <w:tc>
          <w:tcPr>
            <w:tcW w:w="5960" w:type="dxa"/>
            <w:vAlign w:val="center"/>
          </w:tcPr>
          <w:p>
            <w:pPr>
              <w:widowControl/>
              <w:spacing w:line="24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企业应有规范的咨询业务操作流程制度，对项目组或咨询员应有质量考核奖惩办法。</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0.5</w:t>
            </w: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1</w:t>
            </w: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、无业务操作流程制度的，计减</w:t>
            </w:r>
            <w:r>
              <w:rPr>
                <w:color w:val="000000"/>
                <w:spacing w:val="-6"/>
                <w:kern w:val="0"/>
                <w:sz w:val="18"/>
                <w:szCs w:val="18"/>
              </w:rPr>
              <w:t>0.5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、无质量考核办法的，计减</w:t>
            </w:r>
            <w:r>
              <w:rPr>
                <w:color w:val="000000"/>
                <w:spacing w:val="-6"/>
                <w:kern w:val="0"/>
                <w:sz w:val="18"/>
                <w:szCs w:val="18"/>
              </w:rPr>
              <w:t>0.5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、制定的制度和办法不合理、不完善的，计减</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4</w:t>
            </w:r>
            <w:r>
              <w:rPr>
                <w:rFonts w:hint="eastAsia" w:hAnsi="宋体"/>
                <w:color w:val="000000"/>
                <w:spacing w:val="-6"/>
                <w:kern w:val="0"/>
                <w:sz w:val="18"/>
                <w:szCs w:val="18"/>
              </w:rPr>
              <w:t>、企业通过</w:t>
            </w:r>
            <w:r>
              <w:rPr>
                <w:color w:val="000000"/>
                <w:spacing w:val="-6"/>
                <w:kern w:val="0"/>
                <w:sz w:val="18"/>
                <w:szCs w:val="18"/>
              </w:rPr>
              <w:t>ISO</w:t>
            </w:r>
            <w:r>
              <w:rPr>
                <w:rFonts w:hint="eastAsia" w:hAnsi="宋体"/>
                <w:color w:val="000000"/>
                <w:spacing w:val="-6"/>
                <w:kern w:val="0"/>
                <w:sz w:val="18"/>
                <w:szCs w:val="18"/>
              </w:rPr>
              <w:t>质量管理体系认证，并在有效期内的，计加</w:t>
            </w:r>
            <w:r>
              <w:rPr>
                <w:color w:val="000000"/>
                <w:spacing w:val="-6"/>
                <w:kern w:val="0"/>
                <w:sz w:val="18"/>
                <w:szCs w:val="18"/>
              </w:rPr>
              <w:t>0.5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3</w:t>
            </w:r>
          </w:p>
        </w:tc>
        <w:tc>
          <w:tcPr>
            <w:tcW w:w="772"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质量控制</w:t>
            </w:r>
          </w:p>
        </w:tc>
        <w:tc>
          <w:tcPr>
            <w:tcW w:w="5960" w:type="dxa"/>
            <w:vAlign w:val="center"/>
          </w:tcPr>
          <w:p>
            <w:pPr>
              <w:widowControl/>
              <w:spacing w:line="24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企业应高度重视造价咨询质量流程控制，落实质量责任，保证造价咨询成果符合规范、规程的要求。</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0.5</w:t>
            </w: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1.5</w:t>
            </w: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、咨询项目的档案中应有三级质量控制流程单，每缺一单计减</w:t>
            </w:r>
            <w:r>
              <w:rPr>
                <w:color w:val="000000"/>
                <w:spacing w:val="-6"/>
                <w:kern w:val="0"/>
                <w:sz w:val="18"/>
                <w:szCs w:val="18"/>
              </w:rPr>
              <w:t>0.5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、流程单上三级审核意见、签名、印章、日期，发现逻辑错误或不齐全的，每发现一处计减</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、自校意见不详细的，每发现一处计减</w:t>
            </w:r>
            <w:r>
              <w:rPr>
                <w:color w:val="000000"/>
                <w:spacing w:val="-6"/>
                <w:kern w:val="0"/>
                <w:sz w:val="18"/>
                <w:szCs w:val="18"/>
              </w:rPr>
              <w:t>0.1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4</w:t>
            </w:r>
            <w:r>
              <w:rPr>
                <w:rFonts w:hint="eastAsia" w:hAnsi="宋体"/>
                <w:color w:val="000000"/>
                <w:spacing w:val="-6"/>
                <w:kern w:val="0"/>
                <w:sz w:val="18"/>
                <w:szCs w:val="18"/>
              </w:rPr>
              <w:t>、项目负责人复核意见和技术负责人审核意见内容详实，填写完整的，计加</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4</w:t>
            </w:r>
          </w:p>
        </w:tc>
        <w:tc>
          <w:tcPr>
            <w:tcW w:w="772" w:type="dxa"/>
            <w:vMerge w:val="restart"/>
            <w:noWrap/>
            <w:vAlign w:val="center"/>
          </w:tcPr>
          <w:p>
            <w:pPr>
              <w:widowControl/>
              <w:spacing w:line="240" w:lineRule="exact"/>
              <w:ind w:left="-63" w:leftChars="-30" w:right="-63" w:rightChars="-30"/>
              <w:jc w:val="center"/>
              <w:rPr>
                <w:rFonts w:hAnsi="宋体"/>
                <w:b/>
                <w:bCs/>
                <w:color w:val="000000"/>
                <w:spacing w:val="-6"/>
                <w:kern w:val="0"/>
                <w:sz w:val="18"/>
                <w:szCs w:val="18"/>
              </w:rPr>
            </w:pPr>
            <w:r>
              <w:rPr>
                <w:rFonts w:hint="eastAsia" w:hAnsi="宋体"/>
                <w:b/>
                <w:bCs/>
                <w:color w:val="000000"/>
                <w:spacing w:val="-6"/>
                <w:kern w:val="0"/>
                <w:sz w:val="18"/>
                <w:szCs w:val="18"/>
              </w:rPr>
              <w:t>咨询</w:t>
            </w:r>
          </w:p>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报告书</w:t>
            </w:r>
          </w:p>
        </w:tc>
        <w:tc>
          <w:tcPr>
            <w:tcW w:w="5960" w:type="dxa"/>
            <w:vAlign w:val="center"/>
          </w:tcPr>
          <w:p>
            <w:pPr>
              <w:widowControl/>
              <w:spacing w:line="240" w:lineRule="exact"/>
              <w:ind w:right="-63" w:rightChars="-30"/>
              <w:rPr>
                <w:color w:val="000000"/>
                <w:spacing w:val="-6"/>
                <w:kern w:val="0"/>
                <w:sz w:val="18"/>
                <w:szCs w:val="18"/>
              </w:rPr>
            </w:pPr>
            <w:r>
              <w:rPr>
                <w:rFonts w:hint="eastAsia" w:hAnsi="宋体"/>
                <w:color w:val="000000"/>
                <w:spacing w:val="-6"/>
                <w:kern w:val="0"/>
                <w:sz w:val="18"/>
                <w:szCs w:val="18"/>
              </w:rPr>
              <w:t>被抽检的咨询报告书，格式应符合《江苏省工程造价咨询业务指导规程》要求。</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2</w:t>
            </w: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、咨询报告书扉页关于咨询企业执业印章、项目负责人、专业咨询员的姓名缺失或不实，每发现一处计减</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right="-63" w:rightChars="-30"/>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、咨询报告书中项目负责人签字、盖章，企业盖公章，出版日期等格式不规范的，每发现一处计减</w:t>
            </w:r>
            <w:r>
              <w:rPr>
                <w:color w:val="000000"/>
                <w:spacing w:val="-6"/>
                <w:kern w:val="0"/>
                <w:sz w:val="18"/>
                <w:szCs w:val="18"/>
              </w:rPr>
              <w:t>0.3</w:t>
            </w:r>
            <w:r>
              <w:rPr>
                <w:rFonts w:hint="eastAsia" w:hAnsi="宋体"/>
                <w:color w:val="000000"/>
                <w:spacing w:val="-6"/>
                <w:kern w:val="0"/>
                <w:sz w:val="18"/>
                <w:szCs w:val="18"/>
              </w:rPr>
              <w:t>分；签字、盖章、用印、出版日期等方面有其它方面不符合要求的，每发现一处减</w:t>
            </w:r>
            <w:r>
              <w:rPr>
                <w:color w:val="000000"/>
                <w:spacing w:val="-6"/>
                <w:kern w:val="0"/>
                <w:sz w:val="18"/>
                <w:szCs w:val="18"/>
              </w:rPr>
              <w:t>0.1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widowControl/>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right="-63" w:rightChars="-30"/>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、咨询项目的负责人、复核人、校审人、专业咨询员与咨询报告书扉页、内页不一致的，每发现一处计减</w:t>
            </w:r>
            <w:r>
              <w:rPr>
                <w:color w:val="000000"/>
                <w:spacing w:val="-6"/>
                <w:kern w:val="0"/>
                <w:sz w:val="18"/>
                <w:szCs w:val="18"/>
              </w:rPr>
              <w:t>0.3</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restart"/>
            <w:vAlign w:val="center"/>
          </w:tcPr>
          <w:p>
            <w:pPr>
              <w:spacing w:line="240" w:lineRule="exact"/>
              <w:ind w:left="-63" w:leftChars="-30" w:right="-63" w:rightChars="-30"/>
              <w:jc w:val="left"/>
              <w:rPr>
                <w:rFonts w:eastAsia="方正黑体_GBK"/>
                <w:color w:val="000000"/>
                <w:spacing w:val="-6"/>
                <w:kern w:val="0"/>
                <w:sz w:val="18"/>
                <w:szCs w:val="18"/>
              </w:rPr>
            </w:pPr>
            <w:r>
              <w:rPr>
                <w:rFonts w:hint="eastAsia" w:eastAsia="方正黑体_GBK"/>
                <w:color w:val="000000"/>
                <w:spacing w:val="-6"/>
                <w:kern w:val="0"/>
                <w:sz w:val="18"/>
                <w:szCs w:val="18"/>
              </w:rPr>
              <w:t>四、咨询管理信用评价</w:t>
            </w: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5</w:t>
            </w:r>
          </w:p>
        </w:tc>
        <w:tc>
          <w:tcPr>
            <w:tcW w:w="772"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咨询档案管理</w:t>
            </w:r>
          </w:p>
        </w:tc>
        <w:tc>
          <w:tcPr>
            <w:tcW w:w="5960" w:type="dxa"/>
            <w:vAlign w:val="center"/>
          </w:tcPr>
          <w:p>
            <w:pPr>
              <w:widowControl/>
              <w:spacing w:line="24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企业应有专用档案室，有专（兼）职档案管理员。咨询项目档案内容齐全，管理应符合《江苏省工程造价咨询业务指导规程》要求。</w:t>
            </w:r>
            <w:r>
              <w:rPr>
                <w:color w:val="000000"/>
                <w:spacing w:val="-6"/>
                <w:kern w:val="0"/>
                <w:sz w:val="18"/>
                <w:szCs w:val="18"/>
              </w:rPr>
              <w:t xml:space="preserve">   </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2</w:t>
            </w: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、信用评价专家小组查看企业档案室管理，并给予评价赋分。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、工程造价</w:t>
            </w:r>
            <w:r>
              <w:rPr>
                <w:color w:val="000000"/>
                <w:spacing w:val="-6"/>
                <w:kern w:val="0"/>
                <w:sz w:val="18"/>
                <w:szCs w:val="18"/>
              </w:rPr>
              <w:t>500</w:t>
            </w:r>
            <w:r>
              <w:rPr>
                <w:rFonts w:hint="eastAsia" w:hAnsi="宋体"/>
                <w:color w:val="000000"/>
                <w:spacing w:val="-6"/>
                <w:kern w:val="0"/>
                <w:sz w:val="18"/>
                <w:szCs w:val="18"/>
              </w:rPr>
              <w:t>万元以上的咨询项目档案均应有《咨询效果评价意见表》，档案缺失</w:t>
            </w:r>
            <w:r>
              <w:rPr>
                <w:rFonts w:hint="eastAsia"/>
                <w:color w:val="000000"/>
                <w:spacing w:val="-6"/>
                <w:kern w:val="0"/>
                <w:sz w:val="18"/>
                <w:szCs w:val="18"/>
              </w:rPr>
              <w:t>“</w:t>
            </w:r>
            <w:r>
              <w:rPr>
                <w:rFonts w:hint="eastAsia" w:hAnsi="宋体"/>
                <w:color w:val="000000"/>
                <w:spacing w:val="-6"/>
                <w:kern w:val="0"/>
                <w:sz w:val="18"/>
                <w:szCs w:val="18"/>
              </w:rPr>
              <w:t>意见表</w:t>
            </w:r>
            <w:r>
              <w:rPr>
                <w:rFonts w:hint="eastAsia"/>
                <w:color w:val="000000"/>
                <w:spacing w:val="-6"/>
                <w:kern w:val="0"/>
                <w:sz w:val="18"/>
                <w:szCs w:val="18"/>
              </w:rPr>
              <w:t>”</w:t>
            </w:r>
            <w:r>
              <w:rPr>
                <w:rFonts w:hint="eastAsia" w:hAnsi="宋体"/>
                <w:color w:val="000000"/>
                <w:spacing w:val="-6"/>
                <w:kern w:val="0"/>
                <w:sz w:val="18"/>
                <w:szCs w:val="18"/>
              </w:rPr>
              <w:t>的，每发现一例计减</w:t>
            </w:r>
            <w:r>
              <w:rPr>
                <w:color w:val="000000"/>
                <w:spacing w:val="-6"/>
                <w:kern w:val="0"/>
                <w:sz w:val="18"/>
                <w:szCs w:val="18"/>
              </w:rPr>
              <w:t>0.3</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、无专用档案室的，计减</w:t>
            </w:r>
            <w:r>
              <w:rPr>
                <w:color w:val="000000"/>
                <w:spacing w:val="-6"/>
                <w:kern w:val="0"/>
                <w:sz w:val="18"/>
                <w:szCs w:val="18"/>
              </w:rPr>
              <w:t>0.3</w:t>
            </w:r>
            <w:r>
              <w:rPr>
                <w:rFonts w:hint="eastAsia" w:hAnsi="宋体"/>
                <w:color w:val="000000"/>
                <w:spacing w:val="-6"/>
                <w:kern w:val="0"/>
                <w:sz w:val="18"/>
                <w:szCs w:val="18"/>
              </w:rPr>
              <w:t>分；无专（兼）职档案管理员的，计减</w:t>
            </w:r>
            <w:r>
              <w:rPr>
                <w:color w:val="000000"/>
                <w:spacing w:val="-6"/>
                <w:kern w:val="0"/>
                <w:sz w:val="18"/>
                <w:szCs w:val="18"/>
              </w:rPr>
              <w:t>0.3</w:t>
            </w:r>
            <w:r>
              <w:rPr>
                <w:rFonts w:hint="eastAsia" w:hAnsi="宋体"/>
                <w:color w:val="000000"/>
                <w:spacing w:val="-6"/>
                <w:kern w:val="0"/>
                <w:sz w:val="18"/>
                <w:szCs w:val="18"/>
              </w:rPr>
              <w:t>分；无档案台帐的减</w:t>
            </w:r>
            <w:r>
              <w:rPr>
                <w:color w:val="000000"/>
                <w:spacing w:val="-6"/>
                <w:kern w:val="0"/>
                <w:sz w:val="18"/>
                <w:szCs w:val="18"/>
              </w:rPr>
              <w:t>0.3</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71" w:type="dxa"/>
            <w:vMerge w:val="continue"/>
            <w:vAlign w:val="center"/>
          </w:tcPr>
          <w:p>
            <w:pPr>
              <w:widowControl/>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、咨询报告签发后</w:t>
            </w:r>
            <w:r>
              <w:rPr>
                <w:color w:val="000000"/>
                <w:spacing w:val="-6"/>
                <w:kern w:val="0"/>
                <w:sz w:val="18"/>
                <w:szCs w:val="18"/>
              </w:rPr>
              <w:t>40</w:t>
            </w:r>
            <w:r>
              <w:rPr>
                <w:rFonts w:hint="eastAsia" w:hAnsi="宋体"/>
                <w:color w:val="000000"/>
                <w:spacing w:val="-6"/>
                <w:kern w:val="0"/>
                <w:sz w:val="18"/>
                <w:szCs w:val="18"/>
              </w:rPr>
              <w:t>日内未归入卷宗的，每发现一例计减</w:t>
            </w:r>
            <w:r>
              <w:rPr>
                <w:color w:val="000000"/>
                <w:spacing w:val="-6"/>
                <w:kern w:val="0"/>
                <w:sz w:val="18"/>
                <w:szCs w:val="18"/>
              </w:rPr>
              <w:t>0.5</w:t>
            </w:r>
            <w:r>
              <w:rPr>
                <w:rFonts w:hint="eastAsia" w:hAnsi="宋体"/>
                <w:color w:val="000000"/>
                <w:spacing w:val="-6"/>
                <w:kern w:val="0"/>
                <w:sz w:val="18"/>
                <w:szCs w:val="18"/>
              </w:rPr>
              <w:t>分；卷宗档案中咨询报告未填写备考表（至少填写立卷人、检查人和立卷时间）的，每发现一例计减</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restart"/>
            <w:vAlign w:val="center"/>
          </w:tcPr>
          <w:p>
            <w:pPr>
              <w:spacing w:line="240" w:lineRule="exact"/>
              <w:ind w:left="-63" w:leftChars="-30" w:right="-63" w:rightChars="-30"/>
              <w:rPr>
                <w:rFonts w:eastAsia="方正黑体_GBK"/>
                <w:color w:val="000000"/>
                <w:spacing w:val="-6"/>
                <w:kern w:val="0"/>
                <w:sz w:val="18"/>
                <w:szCs w:val="18"/>
              </w:rPr>
            </w:pPr>
            <w:r>
              <w:rPr>
                <w:rFonts w:hint="eastAsia" w:eastAsia="方正黑体_GBK"/>
                <w:color w:val="000000"/>
                <w:spacing w:val="-6"/>
                <w:kern w:val="0"/>
                <w:sz w:val="18"/>
                <w:szCs w:val="18"/>
              </w:rPr>
              <w:t>五、咨询成果质量信用评价</w:t>
            </w: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1</w:t>
            </w:r>
          </w:p>
        </w:tc>
        <w:tc>
          <w:tcPr>
            <w:tcW w:w="772" w:type="dxa"/>
            <w:vMerge w:val="restart"/>
            <w:noWrap/>
            <w:vAlign w:val="center"/>
          </w:tcPr>
          <w:p>
            <w:pPr>
              <w:spacing w:line="240" w:lineRule="exact"/>
              <w:ind w:left="-63" w:leftChars="-30" w:right="-63" w:rightChars="-30"/>
              <w:jc w:val="left"/>
              <w:rPr>
                <w:b/>
                <w:bCs/>
                <w:color w:val="000000"/>
                <w:spacing w:val="-6"/>
                <w:kern w:val="0"/>
                <w:sz w:val="18"/>
                <w:szCs w:val="18"/>
              </w:rPr>
            </w:pPr>
            <w:r>
              <w:rPr>
                <w:rFonts w:hint="eastAsia" w:hAnsi="宋体"/>
                <w:b/>
                <w:bCs/>
                <w:color w:val="000000"/>
                <w:spacing w:val="-6"/>
                <w:kern w:val="0"/>
                <w:sz w:val="18"/>
                <w:szCs w:val="18"/>
              </w:rPr>
              <w:t>咨询项目</w:t>
            </w:r>
          </w:p>
        </w:tc>
        <w:tc>
          <w:tcPr>
            <w:tcW w:w="5960" w:type="dxa"/>
            <w:vAlign w:val="center"/>
          </w:tcPr>
          <w:p>
            <w:pPr>
              <w:widowControl/>
              <w:spacing w:line="240" w:lineRule="exact"/>
              <w:ind w:left="-63" w:leftChars="-30" w:right="-63" w:rightChars="-30"/>
              <w:jc w:val="left"/>
              <w:rPr>
                <w:color w:val="000000"/>
                <w:spacing w:val="-10"/>
                <w:kern w:val="0"/>
                <w:sz w:val="18"/>
                <w:szCs w:val="18"/>
              </w:rPr>
            </w:pPr>
            <w:r>
              <w:rPr>
                <w:rFonts w:hint="eastAsia" w:hAnsi="宋体"/>
                <w:color w:val="000000"/>
                <w:spacing w:val="-10"/>
                <w:kern w:val="0"/>
                <w:sz w:val="18"/>
                <w:szCs w:val="18"/>
              </w:rPr>
              <w:t>必查评价项，适用所有被随机抽查的计价咨询项目。被抽查项目的档案，咨询资料应当齐全，咨询内容应当完整，咨询成果文件应当符合规范、标准、规程的要求。</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12</w:t>
            </w: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、被抽查咨询项目同四</w:t>
            </w:r>
            <w:r>
              <w:rPr>
                <w:rFonts w:hint="eastAsia"/>
                <w:color w:val="000000"/>
                <w:spacing w:val="-6"/>
                <w:kern w:val="0"/>
                <w:sz w:val="18"/>
                <w:szCs w:val="18"/>
              </w:rPr>
              <w:t>“</w:t>
            </w:r>
            <w:r>
              <w:rPr>
                <w:rFonts w:hint="eastAsia" w:hAnsi="宋体"/>
                <w:color w:val="000000"/>
                <w:spacing w:val="-6"/>
                <w:kern w:val="0"/>
                <w:sz w:val="18"/>
                <w:szCs w:val="18"/>
              </w:rPr>
              <w:t>咨询管理信用评价</w:t>
            </w:r>
            <w:r>
              <w:rPr>
                <w:rFonts w:hint="eastAsia"/>
                <w:color w:val="000000"/>
                <w:spacing w:val="-6"/>
                <w:kern w:val="0"/>
                <w:sz w:val="18"/>
                <w:szCs w:val="18"/>
              </w:rPr>
              <w:t>”</w:t>
            </w:r>
            <w:r>
              <w:rPr>
                <w:rFonts w:hint="eastAsia" w:hAnsi="宋体"/>
                <w:color w:val="000000"/>
                <w:spacing w:val="-6"/>
                <w:kern w:val="0"/>
                <w:sz w:val="18"/>
                <w:szCs w:val="18"/>
              </w:rPr>
              <w:t>抽查的三个咨询项目。</w:t>
            </w:r>
          </w:p>
          <w:p>
            <w:pPr>
              <w:widowControl/>
              <w:spacing w:line="240" w:lineRule="exact"/>
              <w:ind w:left="-63" w:leftChars="-30" w:right="-63" w:rightChars="-30"/>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、评价项</w:t>
            </w:r>
            <w:r>
              <w:rPr>
                <w:color w:val="000000"/>
                <w:spacing w:val="-6"/>
                <w:kern w:val="0"/>
                <w:sz w:val="18"/>
                <w:szCs w:val="18"/>
              </w:rPr>
              <w:t>1</w:t>
            </w:r>
            <w:r>
              <w:rPr>
                <w:rFonts w:hint="eastAsia"/>
                <w:color w:val="000000"/>
                <w:spacing w:val="-6"/>
                <w:kern w:val="0"/>
                <w:sz w:val="18"/>
                <w:szCs w:val="18"/>
              </w:rPr>
              <w:t>“</w:t>
            </w:r>
            <w:r>
              <w:rPr>
                <w:rFonts w:hint="eastAsia" w:hAnsi="宋体"/>
                <w:color w:val="000000"/>
                <w:spacing w:val="-6"/>
                <w:kern w:val="0"/>
                <w:sz w:val="18"/>
                <w:szCs w:val="18"/>
              </w:rPr>
              <w:t>咨询项目</w:t>
            </w:r>
            <w:r>
              <w:rPr>
                <w:rFonts w:hint="eastAsia"/>
                <w:color w:val="000000"/>
                <w:spacing w:val="-6"/>
                <w:kern w:val="0"/>
                <w:sz w:val="18"/>
                <w:szCs w:val="18"/>
              </w:rPr>
              <w:t>”</w:t>
            </w:r>
            <w:r>
              <w:rPr>
                <w:rFonts w:hint="eastAsia" w:hAnsi="宋体"/>
                <w:color w:val="000000"/>
                <w:spacing w:val="-6"/>
                <w:kern w:val="0"/>
                <w:sz w:val="18"/>
                <w:szCs w:val="18"/>
              </w:rPr>
              <w:t>为必查评价项。被抽查的三个项目不论类型，都必须首先根据评价项</w:t>
            </w:r>
            <w:r>
              <w:rPr>
                <w:color w:val="000000"/>
                <w:spacing w:val="-6"/>
                <w:kern w:val="0"/>
                <w:sz w:val="18"/>
                <w:szCs w:val="18"/>
              </w:rPr>
              <w:t>1</w:t>
            </w:r>
            <w:r>
              <w:rPr>
                <w:rFonts w:hint="eastAsia"/>
                <w:color w:val="000000"/>
                <w:spacing w:val="-6"/>
                <w:kern w:val="0"/>
                <w:sz w:val="18"/>
                <w:szCs w:val="18"/>
              </w:rPr>
              <w:t>“</w:t>
            </w:r>
            <w:r>
              <w:rPr>
                <w:rFonts w:hint="eastAsia" w:hAnsi="宋体"/>
                <w:color w:val="000000"/>
                <w:spacing w:val="-6"/>
                <w:kern w:val="0"/>
                <w:sz w:val="18"/>
                <w:szCs w:val="18"/>
              </w:rPr>
              <w:t>咨询项目</w:t>
            </w:r>
            <w:r>
              <w:rPr>
                <w:rFonts w:hint="eastAsia"/>
                <w:color w:val="000000"/>
                <w:spacing w:val="-6"/>
                <w:kern w:val="0"/>
                <w:sz w:val="18"/>
                <w:szCs w:val="18"/>
              </w:rPr>
              <w:t>”</w:t>
            </w:r>
            <w:r>
              <w:rPr>
                <w:rFonts w:hint="eastAsia" w:hAnsi="宋体"/>
                <w:color w:val="000000"/>
                <w:spacing w:val="-6"/>
                <w:kern w:val="0"/>
                <w:sz w:val="18"/>
                <w:szCs w:val="18"/>
              </w:rPr>
              <w:t>的要求进行评价赋分。</w:t>
            </w:r>
          </w:p>
          <w:p>
            <w:pPr>
              <w:widowControl/>
              <w:spacing w:line="240" w:lineRule="exact"/>
              <w:ind w:left="-63" w:leftChars="-30" w:right="-63" w:rightChars="-30"/>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、评价项</w:t>
            </w:r>
            <w:r>
              <w:rPr>
                <w:color w:val="000000"/>
                <w:spacing w:val="-6"/>
                <w:kern w:val="0"/>
                <w:sz w:val="18"/>
                <w:szCs w:val="18"/>
              </w:rPr>
              <w:t>2</w:t>
            </w:r>
            <w:r>
              <w:rPr>
                <w:rFonts w:hint="eastAsia"/>
                <w:color w:val="000000"/>
                <w:spacing w:val="-6"/>
                <w:kern w:val="0"/>
                <w:sz w:val="18"/>
                <w:szCs w:val="18"/>
              </w:rPr>
              <w:t>“</w:t>
            </w:r>
            <w:r>
              <w:rPr>
                <w:rFonts w:hint="eastAsia" w:hAnsi="宋体"/>
                <w:color w:val="000000"/>
                <w:spacing w:val="-6"/>
                <w:kern w:val="0"/>
                <w:sz w:val="18"/>
                <w:szCs w:val="18"/>
              </w:rPr>
              <w:t>结算审核项目</w:t>
            </w:r>
            <w:r>
              <w:rPr>
                <w:rFonts w:hint="eastAsia"/>
                <w:color w:val="000000"/>
                <w:spacing w:val="-6"/>
                <w:kern w:val="0"/>
                <w:sz w:val="18"/>
                <w:szCs w:val="18"/>
              </w:rPr>
              <w:t>”</w:t>
            </w:r>
            <w:r>
              <w:rPr>
                <w:rFonts w:hint="eastAsia" w:hAnsi="宋体"/>
                <w:color w:val="000000"/>
                <w:spacing w:val="-6"/>
                <w:kern w:val="0"/>
                <w:sz w:val="18"/>
                <w:szCs w:val="18"/>
              </w:rPr>
              <w:t>和评价项</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工程量清单或招标控制价项目</w:t>
            </w:r>
            <w:r>
              <w:rPr>
                <w:rFonts w:hint="eastAsia"/>
                <w:color w:val="000000"/>
                <w:spacing w:val="-6"/>
                <w:kern w:val="0"/>
                <w:sz w:val="18"/>
                <w:szCs w:val="18"/>
              </w:rPr>
              <w:t>”</w:t>
            </w:r>
            <w:r>
              <w:rPr>
                <w:rFonts w:hint="eastAsia" w:hAnsi="宋体"/>
                <w:color w:val="000000"/>
                <w:spacing w:val="-6"/>
                <w:kern w:val="0"/>
                <w:sz w:val="18"/>
                <w:szCs w:val="18"/>
              </w:rPr>
              <w:t>为适用评价项。其中：结算审核咨询项目除了按评价项</w:t>
            </w:r>
            <w:r>
              <w:rPr>
                <w:color w:val="000000"/>
                <w:spacing w:val="-6"/>
                <w:kern w:val="0"/>
                <w:sz w:val="18"/>
                <w:szCs w:val="18"/>
              </w:rPr>
              <w:t>1</w:t>
            </w:r>
            <w:r>
              <w:rPr>
                <w:rFonts w:hint="eastAsia"/>
                <w:color w:val="000000"/>
                <w:spacing w:val="-6"/>
                <w:kern w:val="0"/>
                <w:sz w:val="18"/>
                <w:szCs w:val="18"/>
              </w:rPr>
              <w:t>“</w:t>
            </w:r>
            <w:r>
              <w:rPr>
                <w:rFonts w:hint="eastAsia" w:hAnsi="宋体"/>
                <w:color w:val="000000"/>
                <w:spacing w:val="-6"/>
                <w:kern w:val="0"/>
                <w:sz w:val="18"/>
                <w:szCs w:val="18"/>
              </w:rPr>
              <w:t>咨询项目</w:t>
            </w:r>
            <w:r>
              <w:rPr>
                <w:rFonts w:hint="eastAsia"/>
                <w:color w:val="000000"/>
                <w:spacing w:val="-6"/>
                <w:kern w:val="0"/>
                <w:sz w:val="18"/>
                <w:szCs w:val="18"/>
              </w:rPr>
              <w:t>”</w:t>
            </w:r>
            <w:r>
              <w:rPr>
                <w:rFonts w:hint="eastAsia" w:hAnsi="宋体"/>
                <w:color w:val="000000"/>
                <w:spacing w:val="-6"/>
                <w:kern w:val="0"/>
                <w:sz w:val="18"/>
                <w:szCs w:val="18"/>
              </w:rPr>
              <w:t>的要求进行评价赋分外，还需按评价项</w:t>
            </w:r>
            <w:r>
              <w:rPr>
                <w:color w:val="000000"/>
                <w:spacing w:val="-6"/>
                <w:kern w:val="0"/>
                <w:sz w:val="18"/>
                <w:szCs w:val="18"/>
              </w:rPr>
              <w:t>2</w:t>
            </w:r>
            <w:r>
              <w:rPr>
                <w:rFonts w:hint="eastAsia"/>
                <w:color w:val="000000"/>
                <w:spacing w:val="-6"/>
                <w:kern w:val="0"/>
                <w:sz w:val="18"/>
                <w:szCs w:val="18"/>
              </w:rPr>
              <w:t>“</w:t>
            </w:r>
            <w:r>
              <w:rPr>
                <w:rFonts w:hint="eastAsia" w:hAnsi="宋体"/>
                <w:color w:val="000000"/>
                <w:spacing w:val="-6"/>
                <w:kern w:val="0"/>
                <w:sz w:val="18"/>
                <w:szCs w:val="18"/>
              </w:rPr>
              <w:t>结算审核项目</w:t>
            </w:r>
            <w:r>
              <w:rPr>
                <w:rFonts w:hint="eastAsia"/>
                <w:color w:val="000000"/>
                <w:spacing w:val="-6"/>
                <w:kern w:val="0"/>
                <w:sz w:val="18"/>
                <w:szCs w:val="18"/>
              </w:rPr>
              <w:t>”</w:t>
            </w:r>
            <w:r>
              <w:rPr>
                <w:rFonts w:hint="eastAsia" w:hAnsi="宋体"/>
                <w:color w:val="000000"/>
                <w:spacing w:val="-6"/>
                <w:kern w:val="0"/>
                <w:sz w:val="18"/>
                <w:szCs w:val="18"/>
              </w:rPr>
              <w:t>另行给予评价赋分；</w:t>
            </w:r>
          </w:p>
          <w:p>
            <w:pPr>
              <w:widowControl/>
              <w:spacing w:line="240" w:lineRule="exact"/>
              <w:ind w:left="-63" w:leftChars="-30" w:right="-63" w:rightChars="-30"/>
              <w:rPr>
                <w:color w:val="000000"/>
                <w:spacing w:val="-6"/>
                <w:kern w:val="0"/>
                <w:sz w:val="18"/>
                <w:szCs w:val="18"/>
              </w:rPr>
            </w:pPr>
            <w:r>
              <w:rPr>
                <w:rFonts w:hint="eastAsia" w:hAnsi="宋体"/>
                <w:color w:val="000000"/>
                <w:spacing w:val="-6"/>
                <w:kern w:val="0"/>
                <w:sz w:val="18"/>
                <w:szCs w:val="18"/>
              </w:rPr>
              <w:t>工程量清单编制咨询或招标控制价编制咨询项目除了按评价项</w:t>
            </w:r>
            <w:r>
              <w:rPr>
                <w:color w:val="000000"/>
                <w:spacing w:val="-6"/>
                <w:kern w:val="0"/>
                <w:sz w:val="18"/>
                <w:szCs w:val="18"/>
              </w:rPr>
              <w:t>1</w:t>
            </w:r>
            <w:r>
              <w:rPr>
                <w:rFonts w:hint="eastAsia"/>
                <w:color w:val="000000"/>
                <w:spacing w:val="-6"/>
                <w:kern w:val="0"/>
                <w:sz w:val="18"/>
                <w:szCs w:val="18"/>
              </w:rPr>
              <w:t>“</w:t>
            </w:r>
            <w:r>
              <w:rPr>
                <w:rFonts w:hint="eastAsia" w:hAnsi="宋体"/>
                <w:color w:val="000000"/>
                <w:spacing w:val="-6"/>
                <w:kern w:val="0"/>
                <w:sz w:val="18"/>
                <w:szCs w:val="18"/>
              </w:rPr>
              <w:t>咨询项目</w:t>
            </w:r>
            <w:r>
              <w:rPr>
                <w:rFonts w:hint="eastAsia"/>
                <w:color w:val="000000"/>
                <w:spacing w:val="-6"/>
                <w:kern w:val="0"/>
                <w:sz w:val="18"/>
                <w:szCs w:val="18"/>
              </w:rPr>
              <w:t>”</w:t>
            </w:r>
            <w:r>
              <w:rPr>
                <w:rFonts w:hint="eastAsia" w:hAnsi="宋体"/>
                <w:color w:val="000000"/>
                <w:spacing w:val="-6"/>
                <w:kern w:val="0"/>
                <w:sz w:val="18"/>
                <w:szCs w:val="18"/>
              </w:rPr>
              <w:t>的要求进行评价赋分外，还需按评价项</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工程量清单或招标控制价项目</w:t>
            </w:r>
            <w:r>
              <w:rPr>
                <w:rFonts w:hint="eastAsia"/>
                <w:color w:val="000000"/>
                <w:spacing w:val="-6"/>
                <w:kern w:val="0"/>
                <w:sz w:val="18"/>
                <w:szCs w:val="18"/>
              </w:rPr>
              <w:t>”</w:t>
            </w:r>
            <w:r>
              <w:rPr>
                <w:rFonts w:hint="eastAsia" w:hAnsi="宋体"/>
                <w:color w:val="000000"/>
                <w:spacing w:val="-6"/>
                <w:kern w:val="0"/>
                <w:sz w:val="18"/>
                <w:szCs w:val="18"/>
              </w:rPr>
              <w:t>另行给予评价赋分。</w:t>
            </w:r>
          </w:p>
          <w:p>
            <w:pPr>
              <w:spacing w:line="240" w:lineRule="exact"/>
              <w:ind w:left="-63" w:leftChars="-30" w:right="-63" w:rightChars="-30"/>
              <w:rPr>
                <w:color w:val="000000"/>
                <w:spacing w:val="-6"/>
                <w:kern w:val="0"/>
                <w:sz w:val="18"/>
                <w:szCs w:val="18"/>
              </w:rPr>
            </w:pPr>
            <w:r>
              <w:rPr>
                <w:color w:val="000000"/>
                <w:spacing w:val="-6"/>
                <w:kern w:val="0"/>
                <w:sz w:val="18"/>
                <w:szCs w:val="18"/>
              </w:rPr>
              <w:t>4</w:t>
            </w:r>
            <w:r>
              <w:rPr>
                <w:rFonts w:hint="eastAsia" w:hAnsi="宋体"/>
                <w:color w:val="000000"/>
                <w:spacing w:val="-6"/>
                <w:kern w:val="0"/>
                <w:sz w:val="18"/>
                <w:szCs w:val="18"/>
              </w:rPr>
              <w:t>、被抽查项目同一个类型错误不重复扣分。如一个项目包含多幢楼，同样的错误只减分</w:t>
            </w:r>
            <w:r>
              <w:rPr>
                <w:color w:val="000000"/>
                <w:spacing w:val="-6"/>
                <w:kern w:val="0"/>
                <w:sz w:val="18"/>
                <w:szCs w:val="18"/>
              </w:rPr>
              <w:t>1</w:t>
            </w:r>
            <w:r>
              <w:rPr>
                <w:rFonts w:hint="eastAsia" w:hAnsi="宋体"/>
                <w:color w:val="000000"/>
                <w:spacing w:val="-6"/>
                <w:kern w:val="0"/>
                <w:sz w:val="18"/>
                <w:szCs w:val="18"/>
              </w:rPr>
              <w:t>次。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、计价程序或取费基数错误的，每发现一处计减</w:t>
            </w:r>
            <w:r>
              <w:rPr>
                <w:color w:val="000000"/>
                <w:spacing w:val="-6"/>
                <w:kern w:val="0"/>
                <w:sz w:val="18"/>
                <w:szCs w:val="18"/>
              </w:rPr>
              <w:t>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、应进行工程量计算而无工程量计算书的（工程量计算书为电子媒介附在咨询成果档案中视同提供，下同），每发现一例计减</w:t>
            </w:r>
            <w:r>
              <w:rPr>
                <w:color w:val="000000"/>
                <w:spacing w:val="-6"/>
                <w:kern w:val="0"/>
                <w:sz w:val="18"/>
                <w:szCs w:val="18"/>
              </w:rPr>
              <w:t>2</w:t>
            </w:r>
            <w:r>
              <w:rPr>
                <w:rFonts w:hint="eastAsia" w:hAnsi="宋体"/>
                <w:color w:val="000000"/>
                <w:spacing w:val="-6"/>
                <w:kern w:val="0"/>
                <w:sz w:val="18"/>
                <w:szCs w:val="18"/>
              </w:rPr>
              <w:t>分；有工程量计算书但是内容不完整或计算过程不完整的，视不完整程度计减</w:t>
            </w:r>
            <w:r>
              <w:rPr>
                <w:color w:val="000000"/>
                <w:spacing w:val="-6"/>
                <w:kern w:val="0"/>
                <w:sz w:val="18"/>
                <w:szCs w:val="18"/>
              </w:rPr>
              <w:t>0.5~2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、组价明显错误的，每发现一处计减</w:t>
            </w:r>
            <w:r>
              <w:rPr>
                <w:color w:val="000000"/>
                <w:spacing w:val="-6"/>
                <w:kern w:val="0"/>
                <w:sz w:val="18"/>
                <w:szCs w:val="18"/>
              </w:rPr>
              <w:t>0.3</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widowControl/>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4</w:t>
            </w:r>
            <w:r>
              <w:rPr>
                <w:rFonts w:hint="eastAsia" w:hAnsi="宋体"/>
                <w:color w:val="000000"/>
                <w:spacing w:val="-6"/>
                <w:kern w:val="0"/>
                <w:sz w:val="18"/>
                <w:szCs w:val="18"/>
              </w:rPr>
              <w:t>、措施项目费计取错误或无依据的，每发现一处计减</w:t>
            </w:r>
            <w:r>
              <w:rPr>
                <w:color w:val="000000"/>
                <w:spacing w:val="-6"/>
                <w:kern w:val="0"/>
                <w:sz w:val="18"/>
                <w:szCs w:val="18"/>
              </w:rPr>
              <w:t>0.3</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5</w:t>
            </w:r>
            <w:r>
              <w:rPr>
                <w:rFonts w:hint="eastAsia" w:hAnsi="宋体"/>
                <w:color w:val="000000"/>
                <w:spacing w:val="-6"/>
                <w:kern w:val="0"/>
                <w:sz w:val="18"/>
                <w:szCs w:val="18"/>
              </w:rPr>
              <w:t>、规费计取错误的，每发现一处计减</w:t>
            </w:r>
            <w:r>
              <w:rPr>
                <w:color w:val="000000"/>
                <w:spacing w:val="-6"/>
                <w:kern w:val="0"/>
                <w:sz w:val="18"/>
                <w:szCs w:val="18"/>
              </w:rPr>
              <w:t>0.3</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6</w:t>
            </w:r>
            <w:r>
              <w:rPr>
                <w:rFonts w:hint="eastAsia" w:hAnsi="宋体"/>
                <w:color w:val="000000"/>
                <w:spacing w:val="-6"/>
                <w:kern w:val="0"/>
                <w:sz w:val="18"/>
                <w:szCs w:val="18"/>
              </w:rPr>
              <w:t>、税率错误的，每发现一处计减</w:t>
            </w:r>
            <w:r>
              <w:rPr>
                <w:color w:val="000000"/>
                <w:spacing w:val="-6"/>
                <w:kern w:val="0"/>
                <w:sz w:val="18"/>
                <w:szCs w:val="18"/>
              </w:rPr>
              <w:t>0.3</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7</w:t>
            </w:r>
            <w:r>
              <w:rPr>
                <w:rFonts w:hint="eastAsia" w:hAnsi="宋体"/>
                <w:color w:val="000000"/>
                <w:spacing w:val="-6"/>
                <w:kern w:val="0"/>
                <w:sz w:val="18"/>
                <w:szCs w:val="18"/>
              </w:rPr>
              <w:t>、咨询报告书、审定单、汇总表、成果内容封面、质量控制流程单等资料数据、日期对应关系错误，每发现一处计减</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8</w:t>
            </w:r>
            <w:r>
              <w:rPr>
                <w:rFonts w:hint="eastAsia" w:hAnsi="宋体"/>
                <w:color w:val="000000"/>
                <w:spacing w:val="-6"/>
                <w:kern w:val="0"/>
                <w:sz w:val="18"/>
                <w:szCs w:val="18"/>
              </w:rPr>
              <w:t>、发现其它影响工程计价结果的错误，视影响程度酌情减</w:t>
            </w:r>
            <w:r>
              <w:rPr>
                <w:color w:val="000000"/>
                <w:spacing w:val="-6"/>
                <w:kern w:val="0"/>
                <w:sz w:val="18"/>
                <w:szCs w:val="18"/>
              </w:rPr>
              <w:t>0.1~0.3</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2</w:t>
            </w:r>
          </w:p>
        </w:tc>
        <w:tc>
          <w:tcPr>
            <w:tcW w:w="772" w:type="dxa"/>
            <w:vMerge w:val="restart"/>
            <w:noWrap/>
            <w:vAlign w:val="center"/>
          </w:tcPr>
          <w:p>
            <w:pPr>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结算审核项目</w:t>
            </w:r>
          </w:p>
        </w:tc>
        <w:tc>
          <w:tcPr>
            <w:tcW w:w="5960" w:type="dxa"/>
            <w:vAlign w:val="center"/>
          </w:tcPr>
          <w:p>
            <w:pPr>
              <w:widowControl/>
              <w:spacing w:line="22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适用结算审核咨询项目的评价。被抽查项目的档案资料应当齐全，内容应当完整，咨询成果文件应当符合规范、标准、规程的要求。</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、计价方式与施工合同约定不符的，每发现一例计减</w:t>
            </w:r>
            <w:r>
              <w:rPr>
                <w:color w:val="000000"/>
                <w:spacing w:val="-6"/>
                <w:kern w:val="0"/>
                <w:sz w:val="18"/>
                <w:szCs w:val="18"/>
              </w:rPr>
              <w:t>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、应让利而未让利或让利计取错误的，每发现一例计减</w:t>
            </w:r>
            <w:r>
              <w:rPr>
                <w:color w:val="000000"/>
                <w:spacing w:val="-6"/>
                <w:kern w:val="0"/>
                <w:sz w:val="18"/>
                <w:szCs w:val="18"/>
              </w:rPr>
              <w:t>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vMerge w:val="restart"/>
            <w:vAlign w:val="center"/>
          </w:tcPr>
          <w:p>
            <w:pPr>
              <w:spacing w:line="240" w:lineRule="exact"/>
              <w:ind w:left="-63" w:leftChars="-30" w:right="-63" w:rightChars="-30"/>
              <w:rPr>
                <w:rFonts w:eastAsia="方正黑体_GBK"/>
                <w:color w:val="000000"/>
                <w:spacing w:val="-6"/>
                <w:kern w:val="0"/>
                <w:sz w:val="18"/>
                <w:szCs w:val="18"/>
              </w:rPr>
            </w:pPr>
            <w:r>
              <w:rPr>
                <w:rFonts w:hint="eastAsia" w:eastAsia="方正黑体_GBK"/>
                <w:color w:val="000000"/>
                <w:spacing w:val="-6"/>
                <w:kern w:val="0"/>
                <w:sz w:val="18"/>
                <w:szCs w:val="18"/>
              </w:rPr>
              <w:t>五、咨询成果质量信用评价</w:t>
            </w:r>
          </w:p>
        </w:tc>
        <w:tc>
          <w:tcPr>
            <w:tcW w:w="453" w:type="dxa"/>
            <w:vMerge w:val="restart"/>
            <w:vAlign w:val="center"/>
          </w:tcPr>
          <w:p>
            <w:pPr>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2</w:t>
            </w:r>
          </w:p>
        </w:tc>
        <w:tc>
          <w:tcPr>
            <w:tcW w:w="772" w:type="dxa"/>
            <w:vMerge w:val="restart"/>
            <w:noWrap/>
            <w:vAlign w:val="center"/>
          </w:tcPr>
          <w:p>
            <w:pPr>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结算审核项目</w:t>
            </w: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、人工单价计取错误的，每发现一处计减</w:t>
            </w:r>
            <w:r>
              <w:rPr>
                <w:color w:val="000000"/>
                <w:spacing w:val="-6"/>
                <w:kern w:val="0"/>
                <w:sz w:val="18"/>
                <w:szCs w:val="18"/>
              </w:rPr>
              <w:t>1</w:t>
            </w:r>
            <w:r>
              <w:rPr>
                <w:rFonts w:hint="eastAsia" w:hAnsi="宋体"/>
                <w:color w:val="000000"/>
                <w:spacing w:val="-6"/>
                <w:kern w:val="0"/>
                <w:sz w:val="18"/>
                <w:szCs w:val="18"/>
              </w:rPr>
              <w:t>分；人工费应调差而未调的，每发现一处计减</w:t>
            </w:r>
            <w:r>
              <w:rPr>
                <w:color w:val="000000"/>
                <w:spacing w:val="-6"/>
                <w:kern w:val="0"/>
                <w:sz w:val="18"/>
                <w:szCs w:val="18"/>
              </w:rPr>
              <w:t>2</w:t>
            </w:r>
            <w:r>
              <w:rPr>
                <w:rFonts w:hint="eastAsia" w:hAnsi="宋体"/>
                <w:color w:val="000000"/>
                <w:spacing w:val="-6"/>
                <w:kern w:val="0"/>
                <w:sz w:val="18"/>
                <w:szCs w:val="18"/>
              </w:rPr>
              <w:t>分；人工费调差错误的，每发现一处计减</w:t>
            </w:r>
            <w:r>
              <w:rPr>
                <w:color w:val="000000"/>
                <w:spacing w:val="-6"/>
                <w:kern w:val="0"/>
                <w:sz w:val="18"/>
                <w:szCs w:val="18"/>
              </w:rPr>
              <w:t>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restart"/>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vMerge w:val="continue"/>
            <w:vAlign w:val="center"/>
          </w:tcPr>
          <w:p>
            <w:pPr>
              <w:spacing w:line="240" w:lineRule="exact"/>
              <w:ind w:left="-63" w:leftChars="-30" w:right="-63" w:rightChars="-30"/>
              <w:rPr>
                <w:rFonts w:eastAsia="方正黑体_GBK"/>
                <w:color w:val="000000"/>
                <w:spacing w:val="-6"/>
                <w:kern w:val="0"/>
                <w:sz w:val="18"/>
                <w:szCs w:val="18"/>
              </w:rPr>
            </w:pPr>
          </w:p>
        </w:tc>
        <w:tc>
          <w:tcPr>
            <w:tcW w:w="453" w:type="dxa"/>
            <w:vMerge w:val="continue"/>
            <w:vAlign w:val="center"/>
          </w:tcPr>
          <w:p>
            <w:pPr>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center"/>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12</w:t>
            </w:r>
            <w:r>
              <w:rPr>
                <w:rFonts w:hint="eastAsia" w:hAnsi="宋体"/>
                <w:color w:val="000000"/>
                <w:spacing w:val="-6"/>
                <w:kern w:val="0"/>
                <w:sz w:val="18"/>
                <w:szCs w:val="18"/>
              </w:rPr>
              <w:t>、材料价格计取错误的，每发现一处计减</w:t>
            </w:r>
            <w:r>
              <w:rPr>
                <w:color w:val="000000"/>
                <w:spacing w:val="-6"/>
                <w:kern w:val="0"/>
                <w:sz w:val="18"/>
                <w:szCs w:val="18"/>
              </w:rPr>
              <w:t>0.2</w:t>
            </w:r>
            <w:r>
              <w:rPr>
                <w:rFonts w:hint="eastAsia" w:hAnsi="宋体"/>
                <w:color w:val="000000"/>
                <w:spacing w:val="-6"/>
                <w:kern w:val="0"/>
                <w:sz w:val="18"/>
                <w:szCs w:val="18"/>
              </w:rPr>
              <w:t>分；材料价格应调差而未调的，每发现一例计减</w:t>
            </w:r>
            <w:r>
              <w:rPr>
                <w:color w:val="000000"/>
                <w:spacing w:val="-6"/>
                <w:kern w:val="0"/>
                <w:sz w:val="18"/>
                <w:szCs w:val="18"/>
              </w:rPr>
              <w:t>2</w:t>
            </w:r>
            <w:r>
              <w:rPr>
                <w:rFonts w:hint="eastAsia" w:hAnsi="宋体"/>
                <w:color w:val="000000"/>
                <w:spacing w:val="-6"/>
                <w:kern w:val="0"/>
                <w:sz w:val="18"/>
                <w:szCs w:val="18"/>
              </w:rPr>
              <w:t>分；材差调整错误的，每发现一个错误计减</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vMerge w:val="continue"/>
            <w:vAlign w:val="center"/>
          </w:tcPr>
          <w:p>
            <w:pPr>
              <w:spacing w:line="240" w:lineRule="exact"/>
              <w:ind w:left="-63" w:leftChars="-30" w:right="-63" w:rightChars="-30"/>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center"/>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4</w:t>
            </w:r>
            <w:r>
              <w:rPr>
                <w:rFonts w:hint="eastAsia" w:hAnsi="宋体"/>
                <w:color w:val="000000"/>
                <w:spacing w:val="-6"/>
                <w:kern w:val="0"/>
                <w:sz w:val="18"/>
                <w:szCs w:val="18"/>
              </w:rPr>
              <w:t>、结算中的甲供材、水电费的处理在咨询报告或审定单中未作说明的，按报告或审定单的份数计，每份计减</w:t>
            </w:r>
            <w:r>
              <w:rPr>
                <w:color w:val="000000"/>
                <w:spacing w:val="-6"/>
                <w:kern w:val="0"/>
                <w:sz w:val="18"/>
                <w:szCs w:val="18"/>
              </w:rPr>
              <w:t>0.3</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restart"/>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、被抽查咨询项目同四</w:t>
            </w:r>
            <w:r>
              <w:rPr>
                <w:rFonts w:hint="eastAsia"/>
                <w:color w:val="000000"/>
                <w:spacing w:val="-6"/>
                <w:kern w:val="0"/>
                <w:sz w:val="18"/>
                <w:szCs w:val="18"/>
              </w:rPr>
              <w:t>“</w:t>
            </w:r>
            <w:r>
              <w:rPr>
                <w:rFonts w:hint="eastAsia" w:hAnsi="宋体"/>
                <w:color w:val="000000"/>
                <w:spacing w:val="-6"/>
                <w:kern w:val="0"/>
                <w:sz w:val="18"/>
                <w:szCs w:val="18"/>
              </w:rPr>
              <w:t>咨询管理信用评价</w:t>
            </w:r>
            <w:r>
              <w:rPr>
                <w:rFonts w:hint="eastAsia"/>
                <w:color w:val="000000"/>
                <w:spacing w:val="-6"/>
                <w:kern w:val="0"/>
                <w:sz w:val="18"/>
                <w:szCs w:val="18"/>
              </w:rPr>
              <w:t>”</w:t>
            </w:r>
            <w:r>
              <w:rPr>
                <w:rFonts w:hint="eastAsia" w:hAnsi="宋体"/>
                <w:color w:val="000000"/>
                <w:spacing w:val="-6"/>
                <w:kern w:val="0"/>
                <w:sz w:val="18"/>
                <w:szCs w:val="18"/>
              </w:rPr>
              <w:t>抽查的三个咨询项目。</w:t>
            </w:r>
          </w:p>
          <w:p>
            <w:pPr>
              <w:widowControl/>
              <w:spacing w:line="240" w:lineRule="exact"/>
              <w:ind w:left="-63" w:leftChars="-30" w:right="-63" w:rightChars="-30"/>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、评价项</w:t>
            </w:r>
            <w:r>
              <w:rPr>
                <w:color w:val="000000"/>
                <w:spacing w:val="-6"/>
                <w:kern w:val="0"/>
                <w:sz w:val="18"/>
                <w:szCs w:val="18"/>
              </w:rPr>
              <w:t>1</w:t>
            </w:r>
            <w:r>
              <w:rPr>
                <w:rFonts w:hint="eastAsia"/>
                <w:color w:val="000000"/>
                <w:spacing w:val="-6"/>
                <w:kern w:val="0"/>
                <w:sz w:val="18"/>
                <w:szCs w:val="18"/>
              </w:rPr>
              <w:t>“</w:t>
            </w:r>
            <w:r>
              <w:rPr>
                <w:rFonts w:hint="eastAsia" w:hAnsi="宋体"/>
                <w:color w:val="000000"/>
                <w:spacing w:val="-6"/>
                <w:kern w:val="0"/>
                <w:sz w:val="18"/>
                <w:szCs w:val="18"/>
              </w:rPr>
              <w:t>咨询项目</w:t>
            </w:r>
            <w:r>
              <w:rPr>
                <w:rFonts w:hint="eastAsia"/>
                <w:color w:val="000000"/>
                <w:spacing w:val="-6"/>
                <w:kern w:val="0"/>
                <w:sz w:val="18"/>
                <w:szCs w:val="18"/>
              </w:rPr>
              <w:t>”</w:t>
            </w:r>
            <w:r>
              <w:rPr>
                <w:rFonts w:hint="eastAsia" w:hAnsi="宋体"/>
                <w:color w:val="000000"/>
                <w:spacing w:val="-6"/>
                <w:kern w:val="0"/>
                <w:sz w:val="18"/>
                <w:szCs w:val="18"/>
              </w:rPr>
              <w:t>为必查评价项。被抽查的三个项目不论类型，都必须首先根据评价项</w:t>
            </w:r>
            <w:r>
              <w:rPr>
                <w:color w:val="000000"/>
                <w:spacing w:val="-6"/>
                <w:kern w:val="0"/>
                <w:sz w:val="18"/>
                <w:szCs w:val="18"/>
              </w:rPr>
              <w:t>1</w:t>
            </w:r>
            <w:r>
              <w:rPr>
                <w:rFonts w:hint="eastAsia"/>
                <w:color w:val="000000"/>
                <w:spacing w:val="-6"/>
                <w:kern w:val="0"/>
                <w:sz w:val="18"/>
                <w:szCs w:val="18"/>
              </w:rPr>
              <w:t>“</w:t>
            </w:r>
            <w:r>
              <w:rPr>
                <w:rFonts w:hint="eastAsia" w:hAnsi="宋体"/>
                <w:color w:val="000000"/>
                <w:spacing w:val="-6"/>
                <w:kern w:val="0"/>
                <w:sz w:val="18"/>
                <w:szCs w:val="18"/>
              </w:rPr>
              <w:t>咨询项目</w:t>
            </w:r>
            <w:r>
              <w:rPr>
                <w:rFonts w:hint="eastAsia"/>
                <w:color w:val="000000"/>
                <w:spacing w:val="-6"/>
                <w:kern w:val="0"/>
                <w:sz w:val="18"/>
                <w:szCs w:val="18"/>
              </w:rPr>
              <w:t>”</w:t>
            </w:r>
            <w:r>
              <w:rPr>
                <w:rFonts w:hint="eastAsia" w:hAnsi="宋体"/>
                <w:color w:val="000000"/>
                <w:spacing w:val="-6"/>
                <w:kern w:val="0"/>
                <w:sz w:val="18"/>
                <w:szCs w:val="18"/>
              </w:rPr>
              <w:t>的要求进行评价赋分。</w:t>
            </w:r>
          </w:p>
          <w:p>
            <w:pPr>
              <w:widowControl/>
              <w:spacing w:line="240" w:lineRule="exact"/>
              <w:ind w:left="-63" w:leftChars="-30" w:right="-63" w:rightChars="-30"/>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、评价项</w:t>
            </w:r>
            <w:r>
              <w:rPr>
                <w:color w:val="000000"/>
                <w:spacing w:val="-6"/>
                <w:kern w:val="0"/>
                <w:sz w:val="18"/>
                <w:szCs w:val="18"/>
              </w:rPr>
              <w:t>2</w:t>
            </w:r>
            <w:r>
              <w:rPr>
                <w:rFonts w:hint="eastAsia"/>
                <w:color w:val="000000"/>
                <w:spacing w:val="-6"/>
                <w:kern w:val="0"/>
                <w:sz w:val="18"/>
                <w:szCs w:val="18"/>
              </w:rPr>
              <w:t>“</w:t>
            </w:r>
            <w:r>
              <w:rPr>
                <w:rFonts w:hint="eastAsia" w:hAnsi="宋体"/>
                <w:color w:val="000000"/>
                <w:spacing w:val="-6"/>
                <w:kern w:val="0"/>
                <w:sz w:val="18"/>
                <w:szCs w:val="18"/>
              </w:rPr>
              <w:t>结算审核项目</w:t>
            </w:r>
            <w:r>
              <w:rPr>
                <w:rFonts w:hint="eastAsia"/>
                <w:color w:val="000000"/>
                <w:spacing w:val="-6"/>
                <w:kern w:val="0"/>
                <w:sz w:val="18"/>
                <w:szCs w:val="18"/>
              </w:rPr>
              <w:t>”</w:t>
            </w:r>
            <w:r>
              <w:rPr>
                <w:rFonts w:hint="eastAsia" w:hAnsi="宋体"/>
                <w:color w:val="000000"/>
                <w:spacing w:val="-6"/>
                <w:kern w:val="0"/>
                <w:sz w:val="18"/>
                <w:szCs w:val="18"/>
              </w:rPr>
              <w:t>和评价项</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工程量清单或招标控制价项目</w:t>
            </w:r>
            <w:r>
              <w:rPr>
                <w:rFonts w:hint="eastAsia"/>
                <w:color w:val="000000"/>
                <w:spacing w:val="-6"/>
                <w:kern w:val="0"/>
                <w:sz w:val="18"/>
                <w:szCs w:val="18"/>
              </w:rPr>
              <w:t>”</w:t>
            </w:r>
            <w:r>
              <w:rPr>
                <w:rFonts w:hint="eastAsia" w:hAnsi="宋体"/>
                <w:color w:val="000000"/>
                <w:spacing w:val="-6"/>
                <w:kern w:val="0"/>
                <w:sz w:val="18"/>
                <w:szCs w:val="18"/>
              </w:rPr>
              <w:t>为适用评价项。其中：结算审核咨询项目除了按评价项</w:t>
            </w:r>
            <w:r>
              <w:rPr>
                <w:color w:val="000000"/>
                <w:spacing w:val="-6"/>
                <w:kern w:val="0"/>
                <w:sz w:val="18"/>
                <w:szCs w:val="18"/>
              </w:rPr>
              <w:t>1</w:t>
            </w:r>
            <w:r>
              <w:rPr>
                <w:rFonts w:hint="eastAsia"/>
                <w:color w:val="000000"/>
                <w:spacing w:val="-6"/>
                <w:kern w:val="0"/>
                <w:sz w:val="18"/>
                <w:szCs w:val="18"/>
              </w:rPr>
              <w:t>“</w:t>
            </w:r>
            <w:r>
              <w:rPr>
                <w:rFonts w:hint="eastAsia" w:hAnsi="宋体"/>
                <w:color w:val="000000"/>
                <w:spacing w:val="-6"/>
                <w:kern w:val="0"/>
                <w:sz w:val="18"/>
                <w:szCs w:val="18"/>
              </w:rPr>
              <w:t>咨询项目</w:t>
            </w:r>
            <w:r>
              <w:rPr>
                <w:rFonts w:hint="eastAsia"/>
                <w:color w:val="000000"/>
                <w:spacing w:val="-6"/>
                <w:kern w:val="0"/>
                <w:sz w:val="18"/>
                <w:szCs w:val="18"/>
              </w:rPr>
              <w:t>”</w:t>
            </w:r>
            <w:r>
              <w:rPr>
                <w:rFonts w:hint="eastAsia" w:hAnsi="宋体"/>
                <w:color w:val="000000"/>
                <w:spacing w:val="-6"/>
                <w:kern w:val="0"/>
                <w:sz w:val="18"/>
                <w:szCs w:val="18"/>
              </w:rPr>
              <w:t>的要求进行评价赋分外，还需按评价项</w:t>
            </w:r>
            <w:r>
              <w:rPr>
                <w:color w:val="000000"/>
                <w:spacing w:val="-6"/>
                <w:kern w:val="0"/>
                <w:sz w:val="18"/>
                <w:szCs w:val="18"/>
              </w:rPr>
              <w:t>2</w:t>
            </w:r>
            <w:r>
              <w:rPr>
                <w:rFonts w:hint="eastAsia"/>
                <w:color w:val="000000"/>
                <w:spacing w:val="-6"/>
                <w:kern w:val="0"/>
                <w:sz w:val="18"/>
                <w:szCs w:val="18"/>
              </w:rPr>
              <w:t>“</w:t>
            </w:r>
            <w:r>
              <w:rPr>
                <w:rFonts w:hint="eastAsia" w:hAnsi="宋体"/>
                <w:color w:val="000000"/>
                <w:spacing w:val="-6"/>
                <w:kern w:val="0"/>
                <w:sz w:val="18"/>
                <w:szCs w:val="18"/>
              </w:rPr>
              <w:t>结算审核项目</w:t>
            </w:r>
            <w:r>
              <w:rPr>
                <w:rFonts w:hint="eastAsia"/>
                <w:color w:val="000000"/>
                <w:spacing w:val="-6"/>
                <w:kern w:val="0"/>
                <w:sz w:val="18"/>
                <w:szCs w:val="18"/>
              </w:rPr>
              <w:t>”</w:t>
            </w:r>
            <w:r>
              <w:rPr>
                <w:rFonts w:hint="eastAsia" w:hAnsi="宋体"/>
                <w:color w:val="000000"/>
                <w:spacing w:val="-6"/>
                <w:kern w:val="0"/>
                <w:sz w:val="18"/>
                <w:szCs w:val="18"/>
              </w:rPr>
              <w:t>另行给予评价赋分；</w:t>
            </w:r>
          </w:p>
          <w:p>
            <w:pPr>
              <w:widowControl/>
              <w:spacing w:line="240" w:lineRule="exact"/>
              <w:ind w:left="-63" w:leftChars="-30" w:right="-63" w:rightChars="-30"/>
              <w:rPr>
                <w:color w:val="000000"/>
                <w:spacing w:val="-6"/>
                <w:kern w:val="0"/>
                <w:sz w:val="18"/>
                <w:szCs w:val="18"/>
              </w:rPr>
            </w:pPr>
            <w:r>
              <w:rPr>
                <w:rFonts w:hint="eastAsia" w:hAnsi="宋体"/>
                <w:color w:val="000000"/>
                <w:spacing w:val="-6"/>
                <w:kern w:val="0"/>
                <w:sz w:val="18"/>
                <w:szCs w:val="18"/>
              </w:rPr>
              <w:t>工程量清单编制咨询或招标控制价编制咨询项目除了按评价项</w:t>
            </w:r>
            <w:r>
              <w:rPr>
                <w:color w:val="000000"/>
                <w:spacing w:val="-6"/>
                <w:kern w:val="0"/>
                <w:sz w:val="18"/>
                <w:szCs w:val="18"/>
              </w:rPr>
              <w:t>1</w:t>
            </w:r>
            <w:r>
              <w:rPr>
                <w:rFonts w:hint="eastAsia"/>
                <w:color w:val="000000"/>
                <w:spacing w:val="-6"/>
                <w:kern w:val="0"/>
                <w:sz w:val="18"/>
                <w:szCs w:val="18"/>
              </w:rPr>
              <w:t>“</w:t>
            </w:r>
            <w:r>
              <w:rPr>
                <w:rFonts w:hint="eastAsia" w:hAnsi="宋体"/>
                <w:color w:val="000000"/>
                <w:spacing w:val="-6"/>
                <w:kern w:val="0"/>
                <w:sz w:val="18"/>
                <w:szCs w:val="18"/>
              </w:rPr>
              <w:t>咨询项目</w:t>
            </w:r>
            <w:r>
              <w:rPr>
                <w:rFonts w:hint="eastAsia"/>
                <w:color w:val="000000"/>
                <w:spacing w:val="-6"/>
                <w:kern w:val="0"/>
                <w:sz w:val="18"/>
                <w:szCs w:val="18"/>
              </w:rPr>
              <w:t>”</w:t>
            </w:r>
            <w:r>
              <w:rPr>
                <w:rFonts w:hint="eastAsia" w:hAnsi="宋体"/>
                <w:color w:val="000000"/>
                <w:spacing w:val="-6"/>
                <w:kern w:val="0"/>
                <w:sz w:val="18"/>
                <w:szCs w:val="18"/>
              </w:rPr>
              <w:t>的要求进行评价赋分外，还需按评价项</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工程量清单或招标控制价项目</w:t>
            </w:r>
            <w:r>
              <w:rPr>
                <w:rFonts w:hint="eastAsia"/>
                <w:color w:val="000000"/>
                <w:spacing w:val="-6"/>
                <w:kern w:val="0"/>
                <w:sz w:val="18"/>
                <w:szCs w:val="18"/>
              </w:rPr>
              <w:t>”</w:t>
            </w:r>
            <w:r>
              <w:rPr>
                <w:rFonts w:hint="eastAsia" w:hAnsi="宋体"/>
                <w:color w:val="000000"/>
                <w:spacing w:val="-6"/>
                <w:kern w:val="0"/>
                <w:sz w:val="18"/>
                <w:szCs w:val="18"/>
              </w:rPr>
              <w:t>另行给予评价赋分。</w:t>
            </w:r>
          </w:p>
          <w:p>
            <w:pPr>
              <w:spacing w:line="240" w:lineRule="exact"/>
              <w:ind w:left="-63" w:leftChars="-30" w:right="-63" w:rightChars="-30"/>
              <w:rPr>
                <w:color w:val="000000"/>
                <w:spacing w:val="-6"/>
                <w:kern w:val="0"/>
                <w:sz w:val="18"/>
                <w:szCs w:val="18"/>
              </w:rPr>
            </w:pPr>
            <w:r>
              <w:rPr>
                <w:color w:val="000000"/>
                <w:spacing w:val="-6"/>
                <w:kern w:val="0"/>
                <w:sz w:val="18"/>
                <w:szCs w:val="18"/>
              </w:rPr>
              <w:t>4</w:t>
            </w:r>
            <w:r>
              <w:rPr>
                <w:rFonts w:hint="eastAsia" w:hAnsi="宋体"/>
                <w:color w:val="000000"/>
                <w:spacing w:val="-6"/>
                <w:kern w:val="0"/>
                <w:sz w:val="18"/>
                <w:szCs w:val="18"/>
              </w:rPr>
              <w:t>、被抽查项目同一个类型错误不重复扣分。如一个项目包含多幢楼，同样的错误只减分</w:t>
            </w:r>
            <w:r>
              <w:rPr>
                <w:color w:val="000000"/>
                <w:spacing w:val="-6"/>
                <w:kern w:val="0"/>
                <w:sz w:val="18"/>
                <w:szCs w:val="18"/>
              </w:rPr>
              <w:t>1</w:t>
            </w:r>
            <w:r>
              <w:rPr>
                <w:rFonts w:hint="eastAsia" w:hAnsi="宋体"/>
                <w:color w:val="000000"/>
                <w:spacing w:val="-6"/>
                <w:kern w:val="0"/>
                <w:sz w:val="18"/>
                <w:szCs w:val="18"/>
              </w:rPr>
              <w:t>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center"/>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5</w:t>
            </w:r>
            <w:r>
              <w:rPr>
                <w:rFonts w:hint="eastAsia" w:hAnsi="宋体"/>
                <w:color w:val="000000"/>
                <w:spacing w:val="-6"/>
                <w:kern w:val="0"/>
                <w:sz w:val="18"/>
                <w:szCs w:val="18"/>
              </w:rPr>
              <w:t>、施工合同中关于工期、质量等奖罚处理在咨询报告中未作说明的，每发现一例计减</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center"/>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6</w:t>
            </w:r>
            <w:r>
              <w:rPr>
                <w:rFonts w:hint="eastAsia" w:hAnsi="宋体"/>
                <w:color w:val="000000"/>
                <w:spacing w:val="-6"/>
                <w:kern w:val="0"/>
                <w:sz w:val="18"/>
                <w:szCs w:val="18"/>
              </w:rPr>
              <w:t>、咨询报告中对工程概况、审核范围、审核依据、送审工程结算金额、审定金额、核减（增）金额等事项表述不全，或对表述事项的成因描述不详的，每发现一处缺项或每发现一处不详计减</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7</w:t>
            </w:r>
            <w:r>
              <w:rPr>
                <w:rFonts w:hint="eastAsia" w:hAnsi="宋体"/>
                <w:color w:val="000000"/>
                <w:spacing w:val="-6"/>
                <w:kern w:val="0"/>
                <w:sz w:val="18"/>
                <w:szCs w:val="18"/>
              </w:rPr>
              <w:t>、工程结算审定单必须有各方盖章和咨询单位项目负责人签字盖章及签发人签字，每发现一处漏缺计减</w:t>
            </w:r>
            <w:r>
              <w:rPr>
                <w:color w:val="000000"/>
                <w:spacing w:val="-6"/>
                <w:kern w:val="0"/>
                <w:sz w:val="18"/>
                <w:szCs w:val="18"/>
              </w:rPr>
              <w:t>0.2</w:t>
            </w:r>
            <w:r>
              <w:rPr>
                <w:rFonts w:hint="eastAsia" w:hAnsi="宋体"/>
                <w:color w:val="000000"/>
                <w:spacing w:val="-6"/>
                <w:kern w:val="0"/>
                <w:sz w:val="18"/>
                <w:szCs w:val="18"/>
              </w:rPr>
              <w:t>分。</w:t>
            </w:r>
            <w:r>
              <w:rPr>
                <w:color w:val="000000"/>
                <w:spacing w:val="-6"/>
                <w:kern w:val="0"/>
                <w:sz w:val="18"/>
                <w:szCs w:val="18"/>
              </w:rPr>
              <w:t xml:space="preserve"> </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3</w:t>
            </w:r>
          </w:p>
        </w:tc>
        <w:tc>
          <w:tcPr>
            <w:tcW w:w="772" w:type="dxa"/>
            <w:vMerge w:val="restart"/>
            <w:vAlign w:val="center"/>
          </w:tcPr>
          <w:p>
            <w:pPr>
              <w:widowControl/>
              <w:spacing w:line="240" w:lineRule="exact"/>
              <w:ind w:left="-63" w:leftChars="-30" w:right="-63" w:rightChars="-30"/>
              <w:jc w:val="center"/>
              <w:rPr>
                <w:rFonts w:hAnsi="宋体"/>
                <w:b/>
                <w:bCs/>
                <w:color w:val="000000"/>
                <w:spacing w:val="-6"/>
                <w:kern w:val="0"/>
                <w:sz w:val="18"/>
                <w:szCs w:val="18"/>
              </w:rPr>
            </w:pPr>
            <w:r>
              <w:rPr>
                <w:rFonts w:hint="eastAsia" w:hAnsi="宋体"/>
                <w:b/>
                <w:bCs/>
                <w:color w:val="000000"/>
                <w:spacing w:val="-6"/>
                <w:kern w:val="0"/>
                <w:sz w:val="18"/>
                <w:szCs w:val="18"/>
              </w:rPr>
              <w:t>工程量清单或招标控制价</w:t>
            </w:r>
          </w:p>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项目</w:t>
            </w:r>
          </w:p>
        </w:tc>
        <w:tc>
          <w:tcPr>
            <w:tcW w:w="5960" w:type="dxa"/>
            <w:vAlign w:val="center"/>
          </w:tcPr>
          <w:p>
            <w:pPr>
              <w:widowControl/>
              <w:spacing w:line="22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适用工程量清单或招标控制价编制项目的评价。被抽查项目的档案资料应当齐全，内容应当完整，咨询成果文件应当符合规范、标准、规程的要求。</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、未按招标文件或委托人要求编制工程量清单或招标控制价的，每发现一例计减</w:t>
            </w:r>
            <w:r>
              <w:rPr>
                <w:color w:val="000000"/>
                <w:spacing w:val="-6"/>
                <w:kern w:val="0"/>
                <w:sz w:val="18"/>
                <w:szCs w:val="18"/>
              </w:rPr>
              <w:t>0.5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、编制的工程量清单或招标控制价无编制说明的，计减</w:t>
            </w:r>
            <w:r>
              <w:rPr>
                <w:color w:val="000000"/>
                <w:spacing w:val="-6"/>
                <w:kern w:val="0"/>
                <w:sz w:val="18"/>
                <w:szCs w:val="18"/>
              </w:rPr>
              <w:t>0.3</w:t>
            </w:r>
            <w:r>
              <w:rPr>
                <w:rFonts w:hint="eastAsia" w:hAnsi="宋体"/>
                <w:color w:val="000000"/>
                <w:spacing w:val="-6"/>
                <w:kern w:val="0"/>
                <w:sz w:val="18"/>
                <w:szCs w:val="18"/>
              </w:rPr>
              <w:t>分；编制说明内容不完整或描写不详细的，计减</w:t>
            </w:r>
            <w:r>
              <w:rPr>
                <w:color w:val="000000"/>
                <w:spacing w:val="-6"/>
                <w:kern w:val="0"/>
                <w:sz w:val="18"/>
                <w:szCs w:val="18"/>
              </w:rPr>
              <w:t>0.1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、工程量清单中有违反计价规范条款的，每发现一处计减</w:t>
            </w:r>
            <w:r>
              <w:rPr>
                <w:color w:val="000000"/>
                <w:spacing w:val="-6"/>
                <w:kern w:val="0"/>
                <w:sz w:val="18"/>
                <w:szCs w:val="18"/>
              </w:rPr>
              <w:t>0.1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4</w:t>
            </w:r>
            <w:r>
              <w:rPr>
                <w:rFonts w:hint="eastAsia" w:hAnsi="宋体"/>
                <w:color w:val="000000"/>
                <w:spacing w:val="-6"/>
                <w:kern w:val="0"/>
                <w:sz w:val="18"/>
                <w:szCs w:val="18"/>
              </w:rPr>
              <w:t>、工程量清单或招标控制价成果文件中无</w:t>
            </w:r>
            <w:r>
              <w:rPr>
                <w:rFonts w:hint="eastAsia"/>
                <w:color w:val="000000"/>
                <w:spacing w:val="-6"/>
                <w:kern w:val="0"/>
                <w:sz w:val="18"/>
                <w:szCs w:val="18"/>
              </w:rPr>
              <w:t>“</w:t>
            </w:r>
            <w:r>
              <w:rPr>
                <w:rFonts w:hint="eastAsia" w:hAnsi="宋体"/>
                <w:color w:val="000000"/>
                <w:spacing w:val="-6"/>
                <w:kern w:val="0"/>
                <w:sz w:val="18"/>
                <w:szCs w:val="18"/>
              </w:rPr>
              <w:t>项目特征</w:t>
            </w:r>
            <w:r>
              <w:rPr>
                <w:rFonts w:hint="eastAsia"/>
                <w:color w:val="000000"/>
                <w:spacing w:val="-6"/>
                <w:kern w:val="0"/>
                <w:sz w:val="18"/>
                <w:szCs w:val="18"/>
              </w:rPr>
              <w:t>”</w:t>
            </w:r>
            <w:r>
              <w:rPr>
                <w:rFonts w:hint="eastAsia" w:hAnsi="宋体"/>
                <w:color w:val="000000"/>
                <w:spacing w:val="-6"/>
                <w:kern w:val="0"/>
                <w:sz w:val="18"/>
                <w:szCs w:val="18"/>
              </w:rPr>
              <w:t>描写，或</w:t>
            </w:r>
            <w:r>
              <w:rPr>
                <w:rFonts w:hint="eastAsia"/>
                <w:color w:val="000000"/>
                <w:spacing w:val="-6"/>
                <w:kern w:val="0"/>
                <w:sz w:val="18"/>
                <w:szCs w:val="18"/>
              </w:rPr>
              <w:t>“</w:t>
            </w:r>
            <w:r>
              <w:rPr>
                <w:rFonts w:hint="eastAsia" w:hAnsi="宋体"/>
                <w:color w:val="000000"/>
                <w:spacing w:val="-6"/>
                <w:kern w:val="0"/>
                <w:sz w:val="18"/>
                <w:szCs w:val="18"/>
              </w:rPr>
              <w:t>项目特征</w:t>
            </w:r>
            <w:r>
              <w:rPr>
                <w:rFonts w:hint="eastAsia"/>
                <w:color w:val="000000"/>
                <w:spacing w:val="-6"/>
                <w:kern w:val="0"/>
                <w:sz w:val="18"/>
                <w:szCs w:val="18"/>
              </w:rPr>
              <w:t>”</w:t>
            </w:r>
            <w:r>
              <w:rPr>
                <w:rFonts w:hint="eastAsia" w:hAnsi="宋体"/>
                <w:color w:val="000000"/>
                <w:spacing w:val="-6"/>
                <w:kern w:val="0"/>
                <w:sz w:val="18"/>
                <w:szCs w:val="18"/>
              </w:rPr>
              <w:t>描写不详实，或不符合规范要求的，每发现一例计减</w:t>
            </w:r>
            <w:r>
              <w:rPr>
                <w:color w:val="000000"/>
                <w:spacing w:val="-6"/>
                <w:kern w:val="0"/>
                <w:sz w:val="18"/>
                <w:szCs w:val="18"/>
              </w:rPr>
              <w:t>0.1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5</w:t>
            </w:r>
            <w:r>
              <w:rPr>
                <w:rFonts w:hint="eastAsia" w:hAnsi="宋体"/>
                <w:color w:val="000000"/>
                <w:spacing w:val="-6"/>
                <w:kern w:val="0"/>
                <w:sz w:val="18"/>
                <w:szCs w:val="18"/>
              </w:rPr>
              <w:t>、工程量清单项目、计价定额子目套用错误的，每发现一处计减</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vAlign w:val="center"/>
          </w:tcPr>
          <w:p>
            <w:pPr>
              <w:widowControl/>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6</w:t>
            </w:r>
            <w:r>
              <w:rPr>
                <w:rFonts w:hint="eastAsia" w:hAnsi="宋体"/>
                <w:color w:val="000000"/>
                <w:spacing w:val="-6"/>
                <w:kern w:val="0"/>
                <w:sz w:val="18"/>
                <w:szCs w:val="18"/>
              </w:rPr>
              <w:t>、招标控制价中措施项目费应计而未计的，每发现一处计减</w:t>
            </w:r>
            <w:r>
              <w:rPr>
                <w:color w:val="000000"/>
                <w:spacing w:val="-6"/>
                <w:kern w:val="0"/>
                <w:sz w:val="18"/>
                <w:szCs w:val="18"/>
              </w:rPr>
              <w:t>0.2</w:t>
            </w:r>
            <w:r>
              <w:rPr>
                <w:rFonts w:hint="eastAsia" w:hAnsi="宋体"/>
                <w:color w:val="000000"/>
                <w:spacing w:val="-6"/>
                <w:kern w:val="0"/>
                <w:sz w:val="18"/>
                <w:szCs w:val="18"/>
              </w:rPr>
              <w:t>分；措施项目费计取不合理的，每发现一处计减</w:t>
            </w:r>
            <w:r>
              <w:rPr>
                <w:color w:val="000000"/>
                <w:spacing w:val="-6"/>
                <w:kern w:val="0"/>
                <w:sz w:val="18"/>
                <w:szCs w:val="18"/>
              </w:rPr>
              <w:t>0.1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restart"/>
            <w:vAlign w:val="center"/>
          </w:tcPr>
          <w:p>
            <w:pPr>
              <w:spacing w:line="240" w:lineRule="exact"/>
              <w:ind w:left="-63" w:leftChars="-30" w:right="-63" w:rightChars="-30"/>
              <w:jc w:val="left"/>
              <w:rPr>
                <w:rFonts w:eastAsia="方正黑体_GBK"/>
                <w:color w:val="000000"/>
                <w:spacing w:val="-6"/>
                <w:kern w:val="0"/>
                <w:sz w:val="18"/>
                <w:szCs w:val="18"/>
              </w:rPr>
            </w:pPr>
            <w:r>
              <w:rPr>
                <w:rFonts w:hint="eastAsia" w:eastAsia="方正黑体_GBK"/>
                <w:color w:val="000000"/>
                <w:spacing w:val="-6"/>
                <w:kern w:val="0"/>
                <w:sz w:val="18"/>
                <w:szCs w:val="18"/>
              </w:rPr>
              <w:t>六、企业统计信用评价</w:t>
            </w: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1</w:t>
            </w:r>
          </w:p>
        </w:tc>
        <w:tc>
          <w:tcPr>
            <w:tcW w:w="772" w:type="dxa"/>
            <w:vMerge w:val="restart"/>
            <w:vAlign w:val="center"/>
          </w:tcPr>
          <w:p>
            <w:pPr>
              <w:spacing w:line="240" w:lineRule="exact"/>
              <w:ind w:left="-63" w:leftChars="-30" w:right="-63" w:rightChars="-30"/>
              <w:jc w:val="left"/>
              <w:rPr>
                <w:b/>
                <w:bCs/>
                <w:color w:val="000000"/>
                <w:spacing w:val="-6"/>
                <w:kern w:val="0"/>
                <w:sz w:val="18"/>
                <w:szCs w:val="18"/>
              </w:rPr>
            </w:pPr>
            <w:r>
              <w:rPr>
                <w:rFonts w:hint="eastAsia" w:hAnsi="宋体"/>
                <w:b/>
                <w:bCs/>
                <w:color w:val="000000"/>
                <w:spacing w:val="-6"/>
                <w:kern w:val="0"/>
                <w:sz w:val="18"/>
                <w:szCs w:val="18"/>
              </w:rPr>
              <w:t>项目填报</w:t>
            </w:r>
          </w:p>
        </w:tc>
        <w:tc>
          <w:tcPr>
            <w:tcW w:w="5960" w:type="dxa"/>
            <w:vAlign w:val="center"/>
          </w:tcPr>
          <w:p>
            <w:pPr>
              <w:widowControl/>
              <w:spacing w:line="26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企业的</w:t>
            </w:r>
            <w:r>
              <w:rPr>
                <w:rFonts w:hint="eastAsia"/>
                <w:color w:val="000000"/>
                <w:spacing w:val="-6"/>
                <w:kern w:val="0"/>
                <w:sz w:val="18"/>
                <w:szCs w:val="18"/>
              </w:rPr>
              <w:t>“</w:t>
            </w:r>
            <w:r>
              <w:rPr>
                <w:rFonts w:hint="eastAsia" w:hAnsi="宋体"/>
                <w:color w:val="000000"/>
                <w:spacing w:val="-6"/>
                <w:kern w:val="0"/>
                <w:sz w:val="18"/>
                <w:szCs w:val="18"/>
              </w:rPr>
              <w:t>工程造价咨询报告书</w:t>
            </w:r>
            <w:r>
              <w:rPr>
                <w:rFonts w:hint="eastAsia"/>
                <w:color w:val="000000"/>
                <w:spacing w:val="-6"/>
                <w:kern w:val="0"/>
                <w:sz w:val="18"/>
                <w:szCs w:val="18"/>
              </w:rPr>
              <w:t>”</w:t>
            </w:r>
            <w:r>
              <w:rPr>
                <w:rFonts w:hint="eastAsia" w:hAnsi="宋体"/>
                <w:color w:val="000000"/>
                <w:spacing w:val="-6"/>
                <w:kern w:val="0"/>
                <w:sz w:val="18"/>
                <w:szCs w:val="18"/>
              </w:rPr>
              <w:t>应在出具报告后的</w:t>
            </w:r>
            <w:r>
              <w:rPr>
                <w:color w:val="000000"/>
                <w:spacing w:val="-6"/>
                <w:kern w:val="0"/>
                <w:sz w:val="18"/>
                <w:szCs w:val="18"/>
              </w:rPr>
              <w:t>40</w:t>
            </w:r>
            <w:r>
              <w:rPr>
                <w:rFonts w:hint="eastAsia" w:hAnsi="宋体"/>
                <w:color w:val="000000"/>
                <w:spacing w:val="-6"/>
                <w:kern w:val="0"/>
                <w:sz w:val="18"/>
                <w:szCs w:val="18"/>
              </w:rPr>
              <w:t>日内，通过</w:t>
            </w:r>
            <w:r>
              <w:rPr>
                <w:rFonts w:hint="eastAsia"/>
                <w:color w:val="000000"/>
                <w:spacing w:val="-6"/>
                <w:kern w:val="0"/>
                <w:sz w:val="18"/>
                <w:szCs w:val="18"/>
              </w:rPr>
              <w:t>“</w:t>
            </w:r>
            <w:r>
              <w:rPr>
                <w:rFonts w:hint="eastAsia" w:hAnsi="宋体"/>
                <w:color w:val="000000"/>
                <w:spacing w:val="-6"/>
                <w:kern w:val="0"/>
                <w:sz w:val="18"/>
                <w:szCs w:val="18"/>
              </w:rPr>
              <w:t>江苏工程造价信息网咨询企业监管系统</w:t>
            </w:r>
            <w:r>
              <w:rPr>
                <w:rFonts w:hint="eastAsia"/>
                <w:color w:val="000000"/>
                <w:spacing w:val="-6"/>
                <w:kern w:val="0"/>
                <w:sz w:val="18"/>
                <w:szCs w:val="18"/>
              </w:rPr>
              <w:t>”</w:t>
            </w:r>
            <w:r>
              <w:rPr>
                <w:rFonts w:hint="eastAsia" w:hAnsi="宋体"/>
                <w:color w:val="000000"/>
                <w:spacing w:val="-6"/>
                <w:kern w:val="0"/>
                <w:sz w:val="18"/>
                <w:szCs w:val="18"/>
              </w:rPr>
              <w:t>在线进行登记，并填报和传输项目资料。全数检查企业</w:t>
            </w: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w:t>
            </w:r>
            <w:r>
              <w:rPr>
                <w:color w:val="000000"/>
                <w:spacing w:val="-6"/>
                <w:kern w:val="0"/>
                <w:sz w:val="18"/>
                <w:szCs w:val="18"/>
              </w:rPr>
              <w:t>2020</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工程造价咨询报告书</w:t>
            </w:r>
            <w:r>
              <w:rPr>
                <w:rFonts w:hint="eastAsia"/>
                <w:color w:val="000000"/>
                <w:spacing w:val="-6"/>
                <w:kern w:val="0"/>
                <w:sz w:val="18"/>
                <w:szCs w:val="18"/>
              </w:rPr>
              <w:t>”</w:t>
            </w:r>
            <w:r>
              <w:rPr>
                <w:rFonts w:hint="eastAsia" w:hAnsi="宋体"/>
                <w:color w:val="000000"/>
                <w:spacing w:val="-6"/>
                <w:kern w:val="0"/>
                <w:sz w:val="18"/>
                <w:szCs w:val="18"/>
              </w:rPr>
              <w:t>填报情况。</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3</w:t>
            </w: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spacing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color w:val="000000"/>
                <w:spacing w:val="-6"/>
                <w:kern w:val="0"/>
                <w:sz w:val="18"/>
                <w:szCs w:val="18"/>
              </w:rPr>
              <w:t>、造价咨询项目网上填报的“工程造价咨询业务收入”的数据从省造价管理总站的企业监管系统导入。</w:t>
            </w:r>
            <w:r>
              <w:rPr>
                <w:color w:val="000000"/>
                <w:spacing w:val="-6"/>
                <w:kern w:val="0"/>
                <w:sz w:val="18"/>
                <w:szCs w:val="18"/>
              </w:rPr>
              <w:t xml:space="preserve">                    </w:t>
            </w:r>
          </w:p>
          <w:p>
            <w:pPr>
              <w:spacing w:line="260" w:lineRule="exact"/>
              <w:ind w:left="-63" w:leftChars="-30" w:right="-63" w:rightChars="-30"/>
              <w:rPr>
                <w:color w:val="000000"/>
                <w:spacing w:val="-6"/>
                <w:kern w:val="0"/>
                <w:sz w:val="18"/>
                <w:szCs w:val="18"/>
              </w:rPr>
            </w:pPr>
            <w:r>
              <w:rPr>
                <w:color w:val="000000"/>
                <w:spacing w:val="-6"/>
                <w:kern w:val="0"/>
                <w:sz w:val="18"/>
                <w:szCs w:val="18"/>
              </w:rPr>
              <w:t>2</w:t>
            </w:r>
            <w:r>
              <w:rPr>
                <w:rFonts w:hint="eastAsia"/>
                <w:color w:val="000000"/>
                <w:spacing w:val="-6"/>
                <w:kern w:val="0"/>
                <w:sz w:val="18"/>
                <w:szCs w:val="18"/>
              </w:rPr>
              <w:t>、企业统计年报“工程造价咨询统计报表制度”中表</w:t>
            </w:r>
            <w:r>
              <w:rPr>
                <w:color w:val="000000"/>
                <w:spacing w:val="-6"/>
                <w:kern w:val="0"/>
                <w:sz w:val="18"/>
                <w:szCs w:val="18"/>
              </w:rPr>
              <w:t>3</w:t>
            </w:r>
            <w:r>
              <w:rPr>
                <w:rFonts w:hint="eastAsia"/>
                <w:color w:val="000000"/>
                <w:spacing w:val="-6"/>
                <w:kern w:val="0"/>
                <w:sz w:val="18"/>
                <w:szCs w:val="18"/>
              </w:rPr>
              <w:t>“工程造价咨询业务收入合计”的数据从年报统计系统导入。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、企业咨询项目的</w:t>
            </w:r>
            <w:r>
              <w:rPr>
                <w:rFonts w:hint="eastAsia"/>
                <w:color w:val="000000"/>
                <w:spacing w:val="-6"/>
                <w:kern w:val="0"/>
                <w:sz w:val="18"/>
                <w:szCs w:val="18"/>
              </w:rPr>
              <w:t>“</w:t>
            </w:r>
            <w:r>
              <w:rPr>
                <w:rFonts w:hint="eastAsia" w:hAnsi="宋体"/>
                <w:color w:val="000000"/>
                <w:spacing w:val="-6"/>
                <w:kern w:val="0"/>
                <w:sz w:val="18"/>
                <w:szCs w:val="18"/>
              </w:rPr>
              <w:t>工程造价咨询报告书</w:t>
            </w:r>
            <w:r>
              <w:rPr>
                <w:rFonts w:hint="eastAsia"/>
                <w:color w:val="000000"/>
                <w:spacing w:val="-6"/>
                <w:kern w:val="0"/>
                <w:sz w:val="18"/>
                <w:szCs w:val="18"/>
              </w:rPr>
              <w:t>”</w:t>
            </w:r>
            <w:r>
              <w:rPr>
                <w:rFonts w:hint="eastAsia" w:hAnsi="宋体"/>
                <w:color w:val="000000"/>
                <w:spacing w:val="-6"/>
                <w:kern w:val="0"/>
                <w:sz w:val="18"/>
                <w:szCs w:val="18"/>
              </w:rPr>
              <w:t>按</w:t>
            </w:r>
            <w:r>
              <w:rPr>
                <w:rFonts w:hint="eastAsia"/>
                <w:color w:val="000000"/>
                <w:spacing w:val="-6"/>
                <w:kern w:val="0"/>
                <w:sz w:val="18"/>
                <w:szCs w:val="18"/>
              </w:rPr>
              <w:t>“</w:t>
            </w:r>
            <w:r>
              <w:rPr>
                <w:rFonts w:hint="eastAsia" w:hAnsi="宋体"/>
                <w:color w:val="000000"/>
                <w:spacing w:val="-6"/>
                <w:kern w:val="0"/>
                <w:sz w:val="18"/>
                <w:szCs w:val="18"/>
              </w:rPr>
              <w:t>咨询报告日期</w:t>
            </w:r>
            <w:r>
              <w:rPr>
                <w:rFonts w:hint="eastAsia"/>
                <w:color w:val="000000"/>
                <w:spacing w:val="-6"/>
                <w:kern w:val="0"/>
                <w:sz w:val="18"/>
                <w:szCs w:val="18"/>
              </w:rPr>
              <w:t>”</w:t>
            </w:r>
            <w:r>
              <w:rPr>
                <w:rFonts w:hint="eastAsia" w:hAnsi="宋体"/>
                <w:color w:val="000000"/>
                <w:spacing w:val="-6"/>
                <w:kern w:val="0"/>
                <w:sz w:val="18"/>
                <w:szCs w:val="18"/>
              </w:rPr>
              <w:t>计，超过</w:t>
            </w:r>
            <w:r>
              <w:rPr>
                <w:color w:val="000000"/>
                <w:spacing w:val="-6"/>
                <w:kern w:val="0"/>
                <w:sz w:val="18"/>
                <w:szCs w:val="18"/>
              </w:rPr>
              <w:t>40</w:t>
            </w:r>
            <w:r>
              <w:rPr>
                <w:rFonts w:hint="eastAsia" w:hAnsi="宋体"/>
                <w:color w:val="000000"/>
                <w:spacing w:val="-6"/>
                <w:kern w:val="0"/>
                <w:sz w:val="18"/>
                <w:szCs w:val="18"/>
              </w:rPr>
              <w:t>个自然日延期登记的，按</w:t>
            </w:r>
            <w:r>
              <w:rPr>
                <w:color w:val="000000"/>
                <w:spacing w:val="-6"/>
                <w:kern w:val="0"/>
                <w:sz w:val="18"/>
                <w:szCs w:val="18"/>
              </w:rPr>
              <w:t>3</w:t>
            </w:r>
            <w:r>
              <w:rPr>
                <w:rFonts w:hint="eastAsia" w:hAnsi="宋体"/>
                <w:color w:val="000000"/>
                <w:spacing w:val="-6"/>
                <w:kern w:val="0"/>
                <w:sz w:val="18"/>
                <w:szCs w:val="18"/>
              </w:rPr>
              <w:t>分</w:t>
            </w:r>
            <w:r>
              <w:rPr>
                <w:color w:val="000000"/>
                <w:spacing w:val="-6"/>
                <w:kern w:val="0"/>
                <w:sz w:val="18"/>
                <w:szCs w:val="18"/>
              </w:rPr>
              <w:t>×</w:t>
            </w:r>
            <w:r>
              <w:rPr>
                <w:rFonts w:hint="eastAsia" w:hAnsi="宋体"/>
                <w:color w:val="000000"/>
                <w:spacing w:val="-6"/>
                <w:kern w:val="0"/>
                <w:sz w:val="18"/>
                <w:szCs w:val="18"/>
              </w:rPr>
              <w:t>（延期登记项目个数</w:t>
            </w:r>
            <w:r>
              <w:rPr>
                <w:color w:val="000000"/>
                <w:spacing w:val="-6"/>
                <w:kern w:val="0"/>
                <w:sz w:val="18"/>
                <w:szCs w:val="18"/>
              </w:rPr>
              <w:t>÷</w:t>
            </w:r>
            <w:r>
              <w:rPr>
                <w:rFonts w:hint="eastAsia" w:hAnsi="宋体"/>
                <w:color w:val="000000"/>
                <w:spacing w:val="-6"/>
                <w:kern w:val="0"/>
                <w:sz w:val="18"/>
                <w:szCs w:val="18"/>
              </w:rPr>
              <w:t>全部登记项目个数）给予减分。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noWrap/>
            <w:vAlign w:val="center"/>
          </w:tcPr>
          <w:p>
            <w:pPr>
              <w:spacing w:line="26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年造价咨询项目网上填报的</w:t>
            </w:r>
            <w:r>
              <w:rPr>
                <w:rFonts w:hint="eastAsia"/>
                <w:color w:val="000000"/>
                <w:spacing w:val="-6"/>
                <w:kern w:val="0"/>
                <w:sz w:val="18"/>
                <w:szCs w:val="18"/>
              </w:rPr>
              <w:t>“</w:t>
            </w:r>
            <w:r>
              <w:rPr>
                <w:rFonts w:hint="eastAsia" w:hAnsi="宋体"/>
                <w:color w:val="000000"/>
                <w:spacing w:val="-6"/>
                <w:kern w:val="0"/>
                <w:sz w:val="18"/>
                <w:szCs w:val="18"/>
              </w:rPr>
              <w:t>工程造价咨询业务收入</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年企业统计年报</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color w:val="000000"/>
                <w:spacing w:val="-6"/>
                <w:kern w:val="0"/>
                <w:sz w:val="18"/>
                <w:szCs w:val="18"/>
                <w:u w:val="single"/>
                <w:lang w:val="en-US" w:eastAsia="zh-CN"/>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造价咨询项目网上填报的</w:t>
            </w:r>
            <w:r>
              <w:rPr>
                <w:rFonts w:hint="eastAsia"/>
                <w:color w:val="000000"/>
                <w:spacing w:val="-6"/>
                <w:kern w:val="0"/>
                <w:sz w:val="18"/>
                <w:szCs w:val="18"/>
              </w:rPr>
              <w:t>“</w:t>
            </w:r>
            <w:r>
              <w:rPr>
                <w:rFonts w:hint="eastAsia" w:hAnsi="宋体"/>
                <w:color w:val="000000"/>
                <w:spacing w:val="-6"/>
                <w:kern w:val="0"/>
                <w:sz w:val="18"/>
                <w:szCs w:val="18"/>
              </w:rPr>
              <w:t>工程造价咨询业务收入</w:t>
            </w:r>
            <w:r>
              <w:rPr>
                <w:rFonts w:hint="eastAsia"/>
                <w:color w:val="000000"/>
                <w:spacing w:val="-6"/>
                <w:kern w:val="0"/>
                <w:sz w:val="18"/>
                <w:szCs w:val="18"/>
              </w:rPr>
              <w:t>”</w:t>
            </w:r>
            <w:r>
              <w:rPr>
                <w:rFonts w:hint="eastAsia" w:hAnsi="宋体"/>
                <w:color w:val="000000"/>
                <w:spacing w:val="-6"/>
                <w:kern w:val="0"/>
                <w:sz w:val="18"/>
                <w:szCs w:val="18"/>
              </w:rPr>
              <w:t>数据与企业统计年报的</w:t>
            </w:r>
            <w:r>
              <w:rPr>
                <w:rFonts w:hint="eastAsia"/>
                <w:color w:val="000000"/>
                <w:spacing w:val="-6"/>
                <w:kern w:val="0"/>
                <w:sz w:val="18"/>
                <w:szCs w:val="18"/>
              </w:rPr>
              <w:t>“</w:t>
            </w:r>
            <w:r>
              <w:rPr>
                <w:rFonts w:hint="eastAsia" w:hAnsi="宋体"/>
                <w:color w:val="000000"/>
                <w:spacing w:val="-6"/>
                <w:kern w:val="0"/>
                <w:sz w:val="18"/>
                <w:szCs w:val="18"/>
              </w:rPr>
              <w:t>工程造价咨询业务收入</w:t>
            </w:r>
            <w:r>
              <w:rPr>
                <w:rFonts w:hint="eastAsia"/>
                <w:color w:val="000000"/>
                <w:spacing w:val="-6"/>
                <w:kern w:val="0"/>
                <w:sz w:val="18"/>
                <w:szCs w:val="18"/>
              </w:rPr>
              <w:t>”</w:t>
            </w:r>
            <w:r>
              <w:rPr>
                <w:rFonts w:hint="eastAsia" w:hAnsi="宋体"/>
                <w:color w:val="000000"/>
                <w:spacing w:val="-6"/>
                <w:kern w:val="0"/>
                <w:sz w:val="18"/>
                <w:szCs w:val="18"/>
              </w:rPr>
              <w:t>数据相差</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w:t>
            </w:r>
          </w:p>
        </w:tc>
        <w:tc>
          <w:tcPr>
            <w:tcW w:w="502"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vMerge w:val="restart"/>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noWrap/>
            <w:vAlign w:val="center"/>
          </w:tcPr>
          <w:p>
            <w:pPr>
              <w:spacing w:line="26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年造价咨询项目网上填报的</w:t>
            </w:r>
            <w:r>
              <w:rPr>
                <w:rFonts w:hint="eastAsia"/>
                <w:color w:val="000000"/>
                <w:spacing w:val="-6"/>
                <w:kern w:val="0"/>
                <w:sz w:val="18"/>
                <w:szCs w:val="18"/>
              </w:rPr>
              <w:t>“</w:t>
            </w:r>
            <w:r>
              <w:rPr>
                <w:rFonts w:hint="eastAsia" w:hAnsi="宋体"/>
                <w:color w:val="000000"/>
                <w:spacing w:val="-6"/>
                <w:kern w:val="0"/>
                <w:sz w:val="18"/>
                <w:szCs w:val="18"/>
              </w:rPr>
              <w:t>工程造价咨询业务收入</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年企业统计年报</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color w:val="000000"/>
                <w:spacing w:val="-6"/>
                <w:kern w:val="0"/>
                <w:sz w:val="18"/>
                <w:szCs w:val="18"/>
                <w:u w:val="single"/>
                <w:lang w:val="en-US" w:eastAsia="zh-CN"/>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造价咨询项目网上填报的</w:t>
            </w:r>
            <w:r>
              <w:rPr>
                <w:rFonts w:hint="eastAsia"/>
                <w:color w:val="000000"/>
                <w:spacing w:val="-6"/>
                <w:kern w:val="0"/>
                <w:sz w:val="18"/>
                <w:szCs w:val="18"/>
              </w:rPr>
              <w:t>“</w:t>
            </w:r>
            <w:r>
              <w:rPr>
                <w:rFonts w:hint="eastAsia" w:hAnsi="宋体"/>
                <w:color w:val="000000"/>
                <w:spacing w:val="-6"/>
                <w:kern w:val="0"/>
                <w:sz w:val="18"/>
                <w:szCs w:val="18"/>
              </w:rPr>
              <w:t>工程造价咨询业务收入</w:t>
            </w:r>
            <w:r>
              <w:rPr>
                <w:rFonts w:hint="eastAsia"/>
                <w:color w:val="000000"/>
                <w:spacing w:val="-6"/>
                <w:kern w:val="0"/>
                <w:sz w:val="18"/>
                <w:szCs w:val="18"/>
              </w:rPr>
              <w:t>”</w:t>
            </w:r>
            <w:r>
              <w:rPr>
                <w:rFonts w:hint="eastAsia" w:hAnsi="宋体"/>
                <w:color w:val="000000"/>
                <w:spacing w:val="-6"/>
                <w:kern w:val="0"/>
                <w:sz w:val="18"/>
                <w:szCs w:val="18"/>
              </w:rPr>
              <w:t>数据与企业统计年报的</w:t>
            </w:r>
            <w:r>
              <w:rPr>
                <w:rFonts w:hint="eastAsia"/>
                <w:color w:val="000000"/>
                <w:spacing w:val="-6"/>
                <w:kern w:val="0"/>
                <w:sz w:val="18"/>
                <w:szCs w:val="18"/>
              </w:rPr>
              <w:t>“</w:t>
            </w:r>
            <w:r>
              <w:rPr>
                <w:rFonts w:hint="eastAsia" w:hAnsi="宋体"/>
                <w:color w:val="000000"/>
                <w:spacing w:val="-6"/>
                <w:kern w:val="0"/>
                <w:sz w:val="18"/>
                <w:szCs w:val="18"/>
              </w:rPr>
              <w:t>工程造价咨询业务收入</w:t>
            </w:r>
            <w:r>
              <w:rPr>
                <w:rFonts w:hint="eastAsia"/>
                <w:color w:val="000000"/>
                <w:spacing w:val="-6"/>
                <w:kern w:val="0"/>
                <w:sz w:val="18"/>
                <w:szCs w:val="18"/>
              </w:rPr>
              <w:t>”</w:t>
            </w:r>
            <w:r>
              <w:rPr>
                <w:rFonts w:hint="eastAsia" w:hAnsi="宋体"/>
                <w:color w:val="000000"/>
                <w:spacing w:val="-6"/>
                <w:kern w:val="0"/>
                <w:sz w:val="18"/>
                <w:szCs w:val="18"/>
              </w:rPr>
              <w:t>数据相差</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w:t>
            </w:r>
          </w:p>
        </w:tc>
        <w:tc>
          <w:tcPr>
            <w:tcW w:w="502"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40"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41"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noWrap/>
            <w:vAlign w:val="center"/>
          </w:tcPr>
          <w:p>
            <w:pPr>
              <w:spacing w:line="26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widowControl/>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、造价咨询项目网上填报的</w:t>
            </w:r>
            <w:r>
              <w:rPr>
                <w:rFonts w:hint="eastAsia"/>
                <w:color w:val="000000"/>
                <w:spacing w:val="-6"/>
                <w:kern w:val="0"/>
                <w:sz w:val="18"/>
                <w:szCs w:val="18"/>
              </w:rPr>
              <w:t>“</w:t>
            </w:r>
            <w:r>
              <w:rPr>
                <w:rFonts w:hint="eastAsia" w:hAnsi="宋体"/>
                <w:color w:val="000000"/>
                <w:spacing w:val="-6"/>
                <w:kern w:val="0"/>
                <w:sz w:val="18"/>
                <w:szCs w:val="18"/>
              </w:rPr>
              <w:t>工程造价咨询业务收入</w:t>
            </w:r>
            <w:r>
              <w:rPr>
                <w:rFonts w:hint="eastAsia"/>
                <w:color w:val="000000"/>
                <w:spacing w:val="-6"/>
                <w:kern w:val="0"/>
                <w:sz w:val="18"/>
                <w:szCs w:val="18"/>
              </w:rPr>
              <w:t>”</w:t>
            </w:r>
            <w:r>
              <w:rPr>
                <w:rFonts w:hint="eastAsia" w:hAnsi="宋体"/>
                <w:color w:val="000000"/>
                <w:spacing w:val="-6"/>
                <w:kern w:val="0"/>
                <w:sz w:val="18"/>
                <w:szCs w:val="18"/>
              </w:rPr>
              <w:t>数据与企业统计年报的</w:t>
            </w:r>
            <w:r>
              <w:rPr>
                <w:rFonts w:hint="eastAsia"/>
                <w:color w:val="000000"/>
                <w:spacing w:val="-6"/>
                <w:kern w:val="0"/>
                <w:sz w:val="18"/>
                <w:szCs w:val="18"/>
              </w:rPr>
              <w:t>“</w:t>
            </w:r>
            <w:r>
              <w:rPr>
                <w:rFonts w:hint="eastAsia" w:hAnsi="宋体"/>
                <w:color w:val="000000"/>
                <w:spacing w:val="-6"/>
                <w:kern w:val="0"/>
                <w:sz w:val="18"/>
                <w:szCs w:val="18"/>
              </w:rPr>
              <w:t>工程造价咨询业务收入</w:t>
            </w:r>
            <w:r>
              <w:rPr>
                <w:rFonts w:hint="eastAsia"/>
                <w:color w:val="000000"/>
                <w:spacing w:val="-6"/>
                <w:kern w:val="0"/>
                <w:sz w:val="18"/>
                <w:szCs w:val="18"/>
              </w:rPr>
              <w:t>”</w:t>
            </w:r>
            <w:r>
              <w:rPr>
                <w:rFonts w:hint="eastAsia" w:hAnsi="宋体"/>
                <w:color w:val="000000"/>
                <w:spacing w:val="-6"/>
                <w:kern w:val="0"/>
                <w:sz w:val="18"/>
                <w:szCs w:val="18"/>
              </w:rPr>
              <w:t>数据相差超过</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30%</w:t>
            </w:r>
            <w:r>
              <w:rPr>
                <w:rFonts w:hint="eastAsia" w:hAnsi="宋体"/>
                <w:color w:val="000000"/>
                <w:spacing w:val="-6"/>
                <w:kern w:val="0"/>
                <w:sz w:val="18"/>
                <w:szCs w:val="18"/>
              </w:rPr>
              <w:t>的，计减</w:t>
            </w:r>
            <w:r>
              <w:rPr>
                <w:color w:val="000000"/>
                <w:spacing w:val="-6"/>
                <w:kern w:val="0"/>
                <w:sz w:val="18"/>
                <w:szCs w:val="18"/>
              </w:rPr>
              <w:t>0.5</w:t>
            </w:r>
            <w:r>
              <w:rPr>
                <w:rFonts w:hint="eastAsia" w:hAnsi="宋体"/>
                <w:color w:val="000000"/>
                <w:spacing w:val="-6"/>
                <w:kern w:val="0"/>
                <w:sz w:val="18"/>
                <w:szCs w:val="18"/>
              </w:rPr>
              <w:t>分；相差超过</w:t>
            </w:r>
            <w:r>
              <w:rPr>
                <w:color w:val="000000"/>
                <w:spacing w:val="-6"/>
                <w:kern w:val="0"/>
                <w:sz w:val="18"/>
                <w:szCs w:val="18"/>
              </w:rPr>
              <w:t>30%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的，计减</w:t>
            </w:r>
            <w:r>
              <w:rPr>
                <w:color w:val="000000"/>
                <w:spacing w:val="-6"/>
                <w:kern w:val="0"/>
                <w:sz w:val="18"/>
                <w:szCs w:val="18"/>
              </w:rPr>
              <w:t>1</w:t>
            </w:r>
            <w:r>
              <w:rPr>
                <w:rFonts w:hint="eastAsia" w:hAnsi="宋体"/>
                <w:color w:val="000000"/>
                <w:spacing w:val="-6"/>
                <w:kern w:val="0"/>
                <w:sz w:val="18"/>
                <w:szCs w:val="18"/>
              </w:rPr>
              <w:t>分；相差超过</w:t>
            </w:r>
            <w:r>
              <w:rPr>
                <w:color w:val="000000"/>
                <w:spacing w:val="-6"/>
                <w:kern w:val="0"/>
                <w:sz w:val="18"/>
                <w:szCs w:val="18"/>
              </w:rPr>
              <w:t>40%</w:t>
            </w:r>
            <w:r>
              <w:rPr>
                <w:rFonts w:hint="eastAsia" w:hAnsi="宋体"/>
                <w:color w:val="000000"/>
                <w:spacing w:val="-6"/>
                <w:kern w:val="0"/>
                <w:sz w:val="18"/>
                <w:szCs w:val="18"/>
              </w:rPr>
              <w:t>及以上的，计减</w:t>
            </w:r>
            <w:r>
              <w:rPr>
                <w:color w:val="000000"/>
                <w:spacing w:val="-6"/>
                <w:kern w:val="0"/>
                <w:sz w:val="18"/>
                <w:szCs w:val="18"/>
              </w:rPr>
              <w:t>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noWrap/>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2</w:t>
            </w:r>
          </w:p>
        </w:tc>
        <w:tc>
          <w:tcPr>
            <w:tcW w:w="772" w:type="dxa"/>
            <w:vMerge w:val="restart"/>
            <w:vAlign w:val="center"/>
          </w:tcPr>
          <w:p>
            <w:pPr>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工程造价咨询统计年报</w:t>
            </w:r>
          </w:p>
        </w:tc>
        <w:tc>
          <w:tcPr>
            <w:tcW w:w="5960" w:type="dxa"/>
            <w:noWrap/>
            <w:vAlign w:val="center"/>
          </w:tcPr>
          <w:p>
            <w:pPr>
              <w:widowControl/>
              <w:spacing w:line="26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企业应严格执行国家建设部制定、国家统计局批准的</w:t>
            </w:r>
            <w:r>
              <w:rPr>
                <w:rFonts w:hint="eastAsia"/>
                <w:color w:val="000000"/>
                <w:spacing w:val="-6"/>
                <w:kern w:val="0"/>
                <w:sz w:val="18"/>
                <w:szCs w:val="18"/>
              </w:rPr>
              <w:t>“</w:t>
            </w:r>
            <w:r>
              <w:rPr>
                <w:rFonts w:hint="eastAsia" w:hAnsi="宋体"/>
                <w:color w:val="000000"/>
                <w:spacing w:val="-6"/>
                <w:kern w:val="0"/>
                <w:sz w:val="18"/>
                <w:szCs w:val="18"/>
              </w:rPr>
              <w:t>工程造价咨询统计报表制度</w:t>
            </w:r>
            <w:r>
              <w:rPr>
                <w:rFonts w:hint="eastAsia"/>
                <w:color w:val="000000"/>
                <w:spacing w:val="-6"/>
                <w:kern w:val="0"/>
                <w:sz w:val="18"/>
                <w:szCs w:val="18"/>
              </w:rPr>
              <w:t>”</w:t>
            </w:r>
            <w:r>
              <w:rPr>
                <w:rFonts w:hint="eastAsia" w:hAnsi="宋体"/>
                <w:color w:val="000000"/>
                <w:spacing w:val="-6"/>
                <w:kern w:val="0"/>
                <w:sz w:val="18"/>
                <w:szCs w:val="18"/>
              </w:rPr>
              <w:t>，按报表制度的规定和要求，如实完整填报</w:t>
            </w:r>
            <w:r>
              <w:rPr>
                <w:rFonts w:hint="eastAsia"/>
                <w:color w:val="000000"/>
                <w:spacing w:val="-6"/>
                <w:kern w:val="0"/>
                <w:sz w:val="18"/>
                <w:szCs w:val="18"/>
              </w:rPr>
              <w:t>“</w:t>
            </w:r>
            <w:r>
              <w:rPr>
                <w:rFonts w:hint="eastAsia" w:hAnsi="宋体"/>
                <w:color w:val="000000"/>
                <w:spacing w:val="-6"/>
                <w:kern w:val="0"/>
                <w:sz w:val="18"/>
                <w:szCs w:val="18"/>
              </w:rPr>
              <w:t>四张表</w:t>
            </w:r>
            <w:r>
              <w:rPr>
                <w:rFonts w:hint="eastAsia"/>
                <w:color w:val="000000"/>
                <w:spacing w:val="-6"/>
                <w:kern w:val="0"/>
                <w:sz w:val="18"/>
                <w:szCs w:val="18"/>
              </w:rPr>
              <w:t>”</w:t>
            </w:r>
            <w:r>
              <w:rPr>
                <w:rFonts w:hint="eastAsia" w:hAnsi="宋体"/>
                <w:color w:val="000000"/>
                <w:spacing w:val="-6"/>
                <w:kern w:val="0"/>
                <w:sz w:val="18"/>
                <w:szCs w:val="18"/>
              </w:rPr>
              <w:t>，并按时上报。</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3</w:t>
            </w: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spacing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color w:val="000000"/>
                <w:spacing w:val="-6"/>
                <w:kern w:val="0"/>
                <w:sz w:val="18"/>
                <w:szCs w:val="18"/>
              </w:rPr>
              <w:t>、</w:t>
            </w:r>
            <w:r>
              <w:rPr>
                <w:color w:val="000000"/>
                <w:spacing w:val="-6"/>
                <w:kern w:val="0"/>
                <w:sz w:val="18"/>
                <w:szCs w:val="18"/>
              </w:rPr>
              <w:t>2018</w:t>
            </w:r>
            <w:r>
              <w:rPr>
                <w:rFonts w:hint="eastAsia"/>
                <w:color w:val="000000"/>
                <w:spacing w:val="-6"/>
                <w:kern w:val="0"/>
                <w:sz w:val="18"/>
                <w:szCs w:val="18"/>
              </w:rPr>
              <w:t>年、</w:t>
            </w:r>
            <w:r>
              <w:rPr>
                <w:color w:val="000000"/>
                <w:spacing w:val="-6"/>
                <w:kern w:val="0"/>
                <w:sz w:val="18"/>
                <w:szCs w:val="18"/>
              </w:rPr>
              <w:t>2019</w:t>
            </w:r>
            <w:r>
              <w:rPr>
                <w:rFonts w:hint="eastAsia"/>
                <w:color w:val="000000"/>
                <w:spacing w:val="-6"/>
                <w:kern w:val="0"/>
                <w:sz w:val="18"/>
                <w:szCs w:val="18"/>
              </w:rPr>
              <w:t>年度“工程造价咨询统计报表”记录，由省各市造价站（处）提供。</w:t>
            </w:r>
          </w:p>
          <w:p>
            <w:pPr>
              <w:spacing w:line="260" w:lineRule="exact"/>
              <w:ind w:left="-63" w:leftChars="-30" w:right="-63" w:rightChars="-30"/>
              <w:rPr>
                <w:color w:val="000000"/>
                <w:spacing w:val="-6"/>
                <w:kern w:val="0"/>
                <w:sz w:val="18"/>
                <w:szCs w:val="18"/>
              </w:rPr>
            </w:pPr>
            <w:r>
              <w:rPr>
                <w:color w:val="000000"/>
                <w:spacing w:val="-6"/>
                <w:kern w:val="0"/>
                <w:sz w:val="18"/>
                <w:szCs w:val="18"/>
              </w:rPr>
              <w:t>2</w:t>
            </w:r>
            <w:r>
              <w:rPr>
                <w:rFonts w:hint="eastAsia"/>
                <w:color w:val="000000"/>
                <w:spacing w:val="-6"/>
                <w:kern w:val="0"/>
                <w:sz w:val="18"/>
                <w:szCs w:val="18"/>
              </w:rPr>
              <w:t>、“工程造价咨询统计报表”有关数据，由信用评价系统从省造价管理总站汇总上报的各造价咨询企业年报（电子稿）中自动提取。</w:t>
            </w:r>
          </w:p>
          <w:p>
            <w:pPr>
              <w:spacing w:line="260" w:lineRule="exact"/>
              <w:ind w:left="-63" w:leftChars="-30" w:right="-63" w:rightChars="-30"/>
              <w:rPr>
                <w:color w:val="000000"/>
                <w:spacing w:val="-6"/>
                <w:kern w:val="0"/>
                <w:sz w:val="18"/>
                <w:szCs w:val="18"/>
              </w:rPr>
            </w:pPr>
            <w:r>
              <w:rPr>
                <w:color w:val="000000"/>
                <w:spacing w:val="-6"/>
                <w:kern w:val="0"/>
                <w:sz w:val="18"/>
                <w:szCs w:val="18"/>
              </w:rPr>
              <w:t>3</w:t>
            </w:r>
            <w:r>
              <w:rPr>
                <w:rFonts w:hint="eastAsia"/>
                <w:color w:val="000000"/>
                <w:spacing w:val="-6"/>
                <w:kern w:val="0"/>
                <w:sz w:val="18"/>
                <w:szCs w:val="18"/>
              </w:rPr>
              <w:t>、信用评价专家小组将企业的“工程造价咨询统计报表”数据与企业年度财务审计报告的数据进行比对。</w:t>
            </w:r>
          </w:p>
          <w:p>
            <w:pPr>
              <w:spacing w:line="260" w:lineRule="exact"/>
              <w:ind w:left="-63" w:leftChars="-30" w:right="-63" w:rightChars="-30"/>
              <w:rPr>
                <w:color w:val="000000"/>
                <w:spacing w:val="-6"/>
                <w:kern w:val="0"/>
                <w:sz w:val="18"/>
                <w:szCs w:val="18"/>
              </w:rPr>
            </w:pPr>
            <w:r>
              <w:rPr>
                <w:color w:val="000000"/>
                <w:spacing w:val="-6"/>
                <w:kern w:val="0"/>
                <w:sz w:val="18"/>
                <w:szCs w:val="18"/>
              </w:rPr>
              <w:t>4</w:t>
            </w:r>
            <w:r>
              <w:rPr>
                <w:rFonts w:hint="eastAsia"/>
                <w:color w:val="000000"/>
                <w:spacing w:val="-6"/>
                <w:kern w:val="0"/>
                <w:sz w:val="18"/>
                <w:szCs w:val="18"/>
              </w:rPr>
              <w:t>、企业“工程造价咨询统计报表”的数据与企业“年度财务报告”或“年度财务审计报告”中的数据相差较大的，按“年度财务审计报告”或“年度财务报告”采信。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、在规定的时间内没有完成年度报表上报的，迟报</w:t>
            </w:r>
            <w:r>
              <w:rPr>
                <w:color w:val="000000"/>
                <w:spacing w:val="-6"/>
                <w:kern w:val="0"/>
                <w:sz w:val="18"/>
                <w:szCs w:val="18"/>
              </w:rPr>
              <w:t>1</w:t>
            </w:r>
            <w:r>
              <w:rPr>
                <w:rFonts w:hint="eastAsia" w:hAnsi="宋体"/>
                <w:color w:val="000000"/>
                <w:spacing w:val="-6"/>
                <w:kern w:val="0"/>
                <w:sz w:val="18"/>
                <w:szCs w:val="18"/>
              </w:rPr>
              <w:t>次计减</w:t>
            </w:r>
            <w:r>
              <w:rPr>
                <w:color w:val="000000"/>
                <w:spacing w:val="-6"/>
                <w:kern w:val="0"/>
                <w:sz w:val="18"/>
                <w:szCs w:val="18"/>
              </w:rPr>
              <w:t xml:space="preserve"> 0.5</w:t>
            </w:r>
            <w:r>
              <w:rPr>
                <w:rFonts w:hint="eastAsia" w:hAnsi="宋体"/>
                <w:color w:val="000000"/>
                <w:spacing w:val="-6"/>
                <w:kern w:val="0"/>
                <w:sz w:val="18"/>
                <w:szCs w:val="18"/>
              </w:rPr>
              <w:t>分，缺报</w:t>
            </w:r>
            <w:r>
              <w:rPr>
                <w:color w:val="000000"/>
                <w:spacing w:val="-6"/>
                <w:kern w:val="0"/>
                <w:sz w:val="18"/>
                <w:szCs w:val="18"/>
              </w:rPr>
              <w:t>1</w:t>
            </w:r>
            <w:r>
              <w:rPr>
                <w:rFonts w:hint="eastAsia" w:hAnsi="宋体"/>
                <w:color w:val="000000"/>
                <w:spacing w:val="-6"/>
                <w:kern w:val="0"/>
                <w:sz w:val="18"/>
                <w:szCs w:val="18"/>
              </w:rPr>
              <w:t>次计减</w:t>
            </w:r>
            <w:r>
              <w:rPr>
                <w:color w:val="000000"/>
                <w:spacing w:val="-6"/>
                <w:kern w:val="0"/>
                <w:sz w:val="18"/>
                <w:szCs w:val="18"/>
              </w:rPr>
              <w:t>1.5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noWrap/>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noWrap/>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、年度报表内容填报不完整，应报未报有缺项的，每发现一项计减</w:t>
            </w:r>
            <w:r>
              <w:rPr>
                <w:color w:val="000000"/>
                <w:spacing w:val="-6"/>
                <w:kern w:val="0"/>
                <w:sz w:val="18"/>
                <w:szCs w:val="18"/>
              </w:rPr>
              <w:t>0.5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noWrap/>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noWrap/>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、经异地工商登记的分支机构（分公司）员工人数、注册造价师人数没有合并统计报告的，按没有合并统计的分公司个数计，每一个计减</w:t>
            </w:r>
            <w:r>
              <w:rPr>
                <w:color w:val="000000"/>
                <w:spacing w:val="-6"/>
                <w:kern w:val="0"/>
                <w:sz w:val="18"/>
                <w:szCs w:val="18"/>
              </w:rPr>
              <w:t>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noWrap/>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noWrap/>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4</w:t>
            </w:r>
            <w:r>
              <w:rPr>
                <w:rFonts w:hint="eastAsia" w:hAnsi="宋体"/>
                <w:color w:val="000000"/>
                <w:spacing w:val="-6"/>
                <w:kern w:val="0"/>
                <w:sz w:val="18"/>
                <w:szCs w:val="18"/>
              </w:rPr>
              <w:t>、年度报表关于</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rFonts w:hint="eastAsia" w:hAnsi="宋体"/>
                <w:color w:val="000000"/>
                <w:spacing w:val="-6"/>
                <w:kern w:val="0"/>
                <w:sz w:val="18"/>
                <w:szCs w:val="18"/>
              </w:rPr>
              <w:t>营业收入合计</w:t>
            </w:r>
            <w:r>
              <w:rPr>
                <w:rFonts w:hint="eastAsia"/>
                <w:color w:val="000000"/>
                <w:spacing w:val="-6"/>
                <w:kern w:val="0"/>
                <w:sz w:val="18"/>
                <w:szCs w:val="18"/>
              </w:rPr>
              <w:t>”</w:t>
            </w:r>
            <w:r>
              <w:rPr>
                <w:rFonts w:hint="eastAsia" w:hAnsi="宋体"/>
                <w:color w:val="000000"/>
                <w:spacing w:val="-6"/>
                <w:kern w:val="0"/>
                <w:sz w:val="18"/>
                <w:szCs w:val="18"/>
              </w:rPr>
              <w:t>与企业</w:t>
            </w:r>
            <w:r>
              <w:rPr>
                <w:rFonts w:hint="eastAsia"/>
                <w:color w:val="000000"/>
                <w:spacing w:val="-6"/>
                <w:kern w:val="0"/>
                <w:sz w:val="18"/>
                <w:szCs w:val="18"/>
              </w:rPr>
              <w:t>“</w:t>
            </w:r>
            <w:r>
              <w:rPr>
                <w:rFonts w:hint="eastAsia" w:hAnsi="宋体"/>
                <w:color w:val="000000"/>
                <w:spacing w:val="-6"/>
                <w:kern w:val="0"/>
                <w:sz w:val="18"/>
                <w:szCs w:val="18"/>
              </w:rPr>
              <w:t>年度财务审计报告</w:t>
            </w:r>
            <w:r>
              <w:rPr>
                <w:rFonts w:hint="eastAsia"/>
                <w:color w:val="000000"/>
                <w:spacing w:val="-6"/>
                <w:kern w:val="0"/>
                <w:sz w:val="18"/>
                <w:szCs w:val="18"/>
              </w:rPr>
              <w:t>”</w:t>
            </w:r>
            <w:r>
              <w:rPr>
                <w:rFonts w:hint="eastAsia" w:hAnsi="宋体"/>
                <w:color w:val="000000"/>
                <w:spacing w:val="-6"/>
                <w:kern w:val="0"/>
                <w:sz w:val="18"/>
                <w:szCs w:val="18"/>
              </w:rPr>
              <w:t>、企业</w:t>
            </w:r>
            <w:r>
              <w:rPr>
                <w:rFonts w:hint="eastAsia"/>
                <w:color w:val="000000"/>
                <w:spacing w:val="-6"/>
                <w:kern w:val="0"/>
                <w:sz w:val="18"/>
                <w:szCs w:val="18"/>
              </w:rPr>
              <w:t>“</w:t>
            </w:r>
            <w:r>
              <w:rPr>
                <w:rFonts w:hint="eastAsia" w:hAnsi="宋体"/>
                <w:color w:val="000000"/>
                <w:spacing w:val="-6"/>
                <w:kern w:val="0"/>
                <w:sz w:val="18"/>
                <w:szCs w:val="18"/>
              </w:rPr>
              <w:t>年度利润表</w:t>
            </w:r>
            <w:r>
              <w:rPr>
                <w:rFonts w:hint="eastAsia"/>
                <w:color w:val="000000"/>
                <w:spacing w:val="-6"/>
                <w:kern w:val="0"/>
                <w:sz w:val="18"/>
                <w:szCs w:val="18"/>
              </w:rPr>
              <w:t>”</w:t>
            </w:r>
            <w:r>
              <w:rPr>
                <w:rFonts w:hint="eastAsia" w:hAnsi="宋体"/>
                <w:color w:val="000000"/>
                <w:spacing w:val="-6"/>
                <w:kern w:val="0"/>
                <w:sz w:val="18"/>
                <w:szCs w:val="18"/>
              </w:rPr>
              <w:t>相差较大，超过</w:t>
            </w:r>
            <w:r>
              <w:rPr>
                <w:color w:val="000000"/>
                <w:spacing w:val="-6"/>
                <w:kern w:val="0"/>
                <w:sz w:val="18"/>
                <w:szCs w:val="18"/>
              </w:rPr>
              <w:t>5%</w:t>
            </w:r>
            <w:r>
              <w:rPr>
                <w:rFonts w:hint="eastAsia" w:hAnsi="宋体"/>
                <w:color w:val="000000"/>
                <w:spacing w:val="-6"/>
                <w:kern w:val="0"/>
                <w:sz w:val="18"/>
                <w:szCs w:val="18"/>
              </w:rPr>
              <w:t>不足</w:t>
            </w:r>
            <w:r>
              <w:rPr>
                <w:color w:val="000000"/>
                <w:spacing w:val="-6"/>
                <w:kern w:val="0"/>
                <w:sz w:val="18"/>
                <w:szCs w:val="18"/>
              </w:rPr>
              <w:t>10%</w:t>
            </w:r>
            <w:r>
              <w:rPr>
                <w:rFonts w:hint="eastAsia" w:hAnsi="宋体"/>
                <w:color w:val="000000"/>
                <w:spacing w:val="-6"/>
                <w:kern w:val="0"/>
                <w:sz w:val="18"/>
                <w:szCs w:val="18"/>
              </w:rPr>
              <w:t>的，按一个统计年度计减</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10%</w:t>
            </w:r>
            <w:r>
              <w:rPr>
                <w:rFonts w:hint="eastAsia" w:hAnsi="宋体"/>
                <w:color w:val="000000"/>
                <w:spacing w:val="-6"/>
                <w:kern w:val="0"/>
                <w:sz w:val="18"/>
                <w:szCs w:val="18"/>
              </w:rPr>
              <w:t>不足</w:t>
            </w:r>
            <w:r>
              <w:rPr>
                <w:color w:val="000000"/>
                <w:spacing w:val="-6"/>
                <w:kern w:val="0"/>
                <w:sz w:val="18"/>
                <w:szCs w:val="18"/>
              </w:rPr>
              <w:t>20%</w:t>
            </w:r>
            <w:r>
              <w:rPr>
                <w:rFonts w:hint="eastAsia" w:hAnsi="宋体"/>
                <w:color w:val="000000"/>
                <w:spacing w:val="-6"/>
                <w:kern w:val="0"/>
                <w:sz w:val="18"/>
                <w:szCs w:val="18"/>
              </w:rPr>
              <w:t>，按一个统计年度计减</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20%</w:t>
            </w:r>
            <w:r>
              <w:rPr>
                <w:rFonts w:hint="eastAsia" w:hAnsi="宋体"/>
                <w:color w:val="000000"/>
                <w:spacing w:val="-6"/>
                <w:kern w:val="0"/>
                <w:sz w:val="18"/>
                <w:szCs w:val="18"/>
              </w:rPr>
              <w:t>及以上的，按一个统计年度计减</w:t>
            </w:r>
            <w:r>
              <w:rPr>
                <w:color w:val="000000"/>
                <w:spacing w:val="-6"/>
                <w:kern w:val="0"/>
                <w:sz w:val="18"/>
                <w:szCs w:val="18"/>
              </w:rPr>
              <w:t>3</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noWrap/>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noWrap/>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widowControl/>
              <w:spacing w:line="240" w:lineRule="exact"/>
              <w:ind w:left="-63" w:leftChars="-30" w:right="-63" w:rightChars="-30"/>
              <w:jc w:val="left"/>
              <w:rPr>
                <w:rFonts w:eastAsia="方正黑体_GBK"/>
                <w:color w:val="000000"/>
                <w:spacing w:val="-6"/>
                <w:kern w:val="0"/>
                <w:sz w:val="18"/>
                <w:szCs w:val="18"/>
              </w:rPr>
            </w:pPr>
          </w:p>
        </w:tc>
        <w:tc>
          <w:tcPr>
            <w:tcW w:w="453" w:type="dxa"/>
            <w:vMerge w:val="continue"/>
            <w:noWrap/>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5</w:t>
            </w:r>
            <w:r>
              <w:rPr>
                <w:rFonts w:hint="eastAsia" w:hAnsi="宋体"/>
                <w:color w:val="000000"/>
                <w:spacing w:val="-6"/>
                <w:kern w:val="0"/>
                <w:sz w:val="18"/>
                <w:szCs w:val="18"/>
              </w:rPr>
              <w:t>、年度报表关于企业人员情况填报不实，瞒报、少报，</w:t>
            </w:r>
            <w:r>
              <w:rPr>
                <w:rFonts w:hint="eastAsia"/>
                <w:color w:val="000000"/>
                <w:spacing w:val="-6"/>
                <w:kern w:val="0"/>
                <w:sz w:val="18"/>
                <w:szCs w:val="18"/>
              </w:rPr>
              <w:t>“</w:t>
            </w:r>
            <w:r>
              <w:rPr>
                <w:rFonts w:hint="eastAsia" w:hAnsi="宋体"/>
                <w:color w:val="000000"/>
                <w:spacing w:val="-6"/>
                <w:kern w:val="0"/>
                <w:sz w:val="18"/>
                <w:szCs w:val="18"/>
              </w:rPr>
              <w:t>期末企业人员合计</w:t>
            </w:r>
            <w:r>
              <w:rPr>
                <w:rFonts w:hint="eastAsia"/>
                <w:color w:val="000000"/>
                <w:spacing w:val="-6"/>
                <w:kern w:val="0"/>
                <w:sz w:val="18"/>
                <w:szCs w:val="18"/>
              </w:rPr>
              <w:t>”</w:t>
            </w:r>
            <w:r>
              <w:rPr>
                <w:rFonts w:hint="eastAsia" w:hAnsi="宋体"/>
                <w:color w:val="000000"/>
                <w:spacing w:val="-6"/>
                <w:kern w:val="0"/>
                <w:sz w:val="18"/>
                <w:szCs w:val="18"/>
              </w:rPr>
              <w:t>数相差未超过</w:t>
            </w:r>
            <w:r>
              <w:rPr>
                <w:color w:val="000000"/>
                <w:spacing w:val="-6"/>
                <w:kern w:val="0"/>
                <w:sz w:val="18"/>
                <w:szCs w:val="18"/>
              </w:rPr>
              <w:t>5%</w:t>
            </w:r>
            <w:r>
              <w:rPr>
                <w:rFonts w:hint="eastAsia" w:hAnsi="宋体"/>
                <w:color w:val="000000"/>
                <w:spacing w:val="-6"/>
                <w:kern w:val="0"/>
                <w:sz w:val="18"/>
                <w:szCs w:val="18"/>
              </w:rPr>
              <w:t>的，按一个统计年度计减</w:t>
            </w:r>
            <w:r>
              <w:rPr>
                <w:color w:val="000000"/>
                <w:spacing w:val="-6"/>
                <w:kern w:val="0"/>
                <w:sz w:val="18"/>
                <w:szCs w:val="18"/>
              </w:rPr>
              <w:t>1</w:t>
            </w:r>
            <w:r>
              <w:rPr>
                <w:rFonts w:hint="eastAsia" w:hAnsi="宋体"/>
                <w:color w:val="000000"/>
                <w:spacing w:val="-6"/>
                <w:kern w:val="0"/>
                <w:sz w:val="18"/>
                <w:szCs w:val="18"/>
              </w:rPr>
              <w:t>分；相差超过</w:t>
            </w:r>
            <w:r>
              <w:rPr>
                <w:color w:val="000000"/>
                <w:spacing w:val="-6"/>
                <w:kern w:val="0"/>
                <w:sz w:val="18"/>
                <w:szCs w:val="18"/>
              </w:rPr>
              <w:t>5%</w:t>
            </w:r>
            <w:r>
              <w:rPr>
                <w:rFonts w:hint="eastAsia" w:hAnsi="宋体"/>
                <w:color w:val="000000"/>
                <w:spacing w:val="-6"/>
                <w:kern w:val="0"/>
                <w:sz w:val="18"/>
                <w:szCs w:val="18"/>
              </w:rPr>
              <w:t>及以上的，按统计年度计减</w:t>
            </w:r>
            <w:r>
              <w:rPr>
                <w:color w:val="000000"/>
                <w:spacing w:val="-6"/>
                <w:kern w:val="0"/>
                <w:sz w:val="18"/>
                <w:szCs w:val="18"/>
              </w:rPr>
              <w:t>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noWrap/>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noWrap/>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restart"/>
            <w:vAlign w:val="center"/>
          </w:tcPr>
          <w:p>
            <w:pPr>
              <w:spacing w:line="240" w:lineRule="exact"/>
              <w:ind w:left="-63" w:leftChars="-30" w:right="-63" w:rightChars="-30"/>
              <w:rPr>
                <w:rFonts w:eastAsia="方正黑体_GBK"/>
                <w:color w:val="000000"/>
                <w:spacing w:val="-6"/>
                <w:kern w:val="0"/>
                <w:sz w:val="18"/>
                <w:szCs w:val="18"/>
              </w:rPr>
            </w:pPr>
            <w:r>
              <w:rPr>
                <w:rFonts w:hint="eastAsia" w:eastAsia="方正黑体_GBK"/>
                <w:color w:val="000000"/>
                <w:spacing w:val="-6"/>
                <w:kern w:val="0"/>
                <w:sz w:val="18"/>
                <w:szCs w:val="18"/>
              </w:rPr>
              <w:t>七、行业责任信用评价</w:t>
            </w: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1</w:t>
            </w:r>
          </w:p>
        </w:tc>
        <w:tc>
          <w:tcPr>
            <w:tcW w:w="772" w:type="dxa"/>
            <w:vMerge w:val="restart"/>
            <w:noWrap/>
            <w:vAlign w:val="center"/>
          </w:tcPr>
          <w:p>
            <w:pPr>
              <w:spacing w:line="240" w:lineRule="exact"/>
              <w:ind w:left="-63" w:leftChars="-30" w:right="-63" w:rightChars="-30"/>
              <w:jc w:val="left"/>
              <w:rPr>
                <w:b/>
                <w:bCs/>
                <w:color w:val="000000"/>
                <w:spacing w:val="-6"/>
                <w:kern w:val="0"/>
                <w:sz w:val="18"/>
                <w:szCs w:val="18"/>
              </w:rPr>
            </w:pPr>
            <w:r>
              <w:rPr>
                <w:rFonts w:hint="eastAsia" w:hAnsi="宋体"/>
                <w:b/>
                <w:bCs/>
                <w:color w:val="000000"/>
                <w:spacing w:val="-6"/>
                <w:kern w:val="0"/>
                <w:sz w:val="18"/>
                <w:szCs w:val="18"/>
              </w:rPr>
              <w:t>业务拓展</w:t>
            </w:r>
          </w:p>
        </w:tc>
        <w:tc>
          <w:tcPr>
            <w:tcW w:w="5960" w:type="dxa"/>
            <w:vAlign w:val="center"/>
          </w:tcPr>
          <w:p>
            <w:pPr>
              <w:widowControl/>
              <w:spacing w:line="240" w:lineRule="exact"/>
              <w:ind w:left="-63" w:leftChars="-30" w:right="-63" w:rightChars="-30"/>
              <w:rPr>
                <w:color w:val="000000"/>
                <w:spacing w:val="-6"/>
                <w:kern w:val="0"/>
                <w:sz w:val="18"/>
                <w:szCs w:val="18"/>
              </w:rPr>
            </w:pPr>
            <w:r>
              <w:rPr>
                <w:rFonts w:hint="eastAsia" w:hAnsi="宋体"/>
                <w:color w:val="000000"/>
                <w:spacing w:val="-6"/>
                <w:kern w:val="0"/>
                <w:sz w:val="18"/>
                <w:szCs w:val="18"/>
              </w:rPr>
              <w:t>企业超越传统，在评价期开拓业务，具有创新业绩。</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4</w:t>
            </w: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color w:val="000000"/>
                <w:spacing w:val="-6"/>
                <w:kern w:val="0"/>
                <w:sz w:val="18"/>
                <w:szCs w:val="18"/>
              </w:rPr>
              <w:t>、</w:t>
            </w:r>
            <w:r>
              <w:rPr>
                <w:color w:val="000000"/>
                <w:spacing w:val="-6"/>
                <w:kern w:val="0"/>
                <w:sz w:val="18"/>
                <w:szCs w:val="18"/>
              </w:rPr>
              <w:t>2018</w:t>
            </w:r>
            <w:r>
              <w:rPr>
                <w:rFonts w:hint="eastAsia"/>
                <w:color w:val="000000"/>
                <w:spacing w:val="-6"/>
                <w:kern w:val="0"/>
                <w:sz w:val="18"/>
                <w:szCs w:val="18"/>
              </w:rPr>
              <w:t>、</w:t>
            </w:r>
            <w:r>
              <w:rPr>
                <w:color w:val="000000"/>
                <w:spacing w:val="-6"/>
                <w:kern w:val="0"/>
                <w:sz w:val="18"/>
                <w:szCs w:val="18"/>
              </w:rPr>
              <w:t>2019</w:t>
            </w:r>
            <w:r>
              <w:rPr>
                <w:rFonts w:hint="eastAsia"/>
                <w:color w:val="000000"/>
                <w:spacing w:val="-6"/>
                <w:kern w:val="0"/>
                <w:sz w:val="18"/>
                <w:szCs w:val="18"/>
              </w:rPr>
              <w:t>、</w:t>
            </w:r>
            <w:r>
              <w:rPr>
                <w:color w:val="000000"/>
                <w:spacing w:val="-6"/>
                <w:kern w:val="0"/>
                <w:sz w:val="18"/>
                <w:szCs w:val="18"/>
              </w:rPr>
              <w:t>2020</w:t>
            </w:r>
            <w:r>
              <w:rPr>
                <w:rFonts w:hint="eastAsia"/>
                <w:color w:val="000000"/>
                <w:spacing w:val="-6"/>
                <w:kern w:val="0"/>
                <w:sz w:val="18"/>
                <w:szCs w:val="18"/>
              </w:rPr>
              <w:t>三个年度期间行业责任信用评价的证明性材料由企业申请信用评价时，通过信用评价系统自行在线上传。</w:t>
            </w:r>
          </w:p>
          <w:p>
            <w:pPr>
              <w:spacing w:line="240" w:lineRule="exact"/>
              <w:ind w:left="-63" w:leftChars="-30" w:right="-63" w:rightChars="-30"/>
              <w:rPr>
                <w:color w:val="000000"/>
                <w:spacing w:val="-6"/>
                <w:kern w:val="0"/>
                <w:sz w:val="18"/>
                <w:szCs w:val="18"/>
              </w:rPr>
            </w:pPr>
            <w:r>
              <w:rPr>
                <w:color w:val="000000"/>
                <w:spacing w:val="-6"/>
                <w:kern w:val="0"/>
                <w:sz w:val="18"/>
                <w:szCs w:val="18"/>
              </w:rPr>
              <w:t>2</w:t>
            </w:r>
            <w:r>
              <w:rPr>
                <w:rFonts w:hint="eastAsia"/>
                <w:color w:val="000000"/>
                <w:spacing w:val="-6"/>
                <w:kern w:val="0"/>
                <w:sz w:val="18"/>
                <w:szCs w:val="18"/>
              </w:rPr>
              <w:t>、企业注册所在地造价管理部门、造价管理协会可以对企业的行业责任信用出具证明性材料，由企业通过信用评价系统自行上传。</w:t>
            </w:r>
          </w:p>
          <w:p>
            <w:pPr>
              <w:spacing w:line="240" w:lineRule="exact"/>
              <w:ind w:left="-63" w:leftChars="-30" w:right="-63" w:rightChars="-30"/>
              <w:rPr>
                <w:color w:val="000000"/>
                <w:spacing w:val="-6"/>
                <w:kern w:val="0"/>
                <w:sz w:val="18"/>
                <w:szCs w:val="18"/>
              </w:rPr>
            </w:pPr>
            <w:r>
              <w:rPr>
                <w:color w:val="000000"/>
                <w:spacing w:val="-6"/>
                <w:kern w:val="0"/>
                <w:sz w:val="18"/>
                <w:szCs w:val="18"/>
              </w:rPr>
              <w:t>3</w:t>
            </w:r>
            <w:r>
              <w:rPr>
                <w:rFonts w:hint="eastAsia"/>
                <w:color w:val="000000"/>
                <w:spacing w:val="-6"/>
                <w:kern w:val="0"/>
                <w:sz w:val="18"/>
                <w:szCs w:val="18"/>
              </w:rPr>
              <w:t>、企业上传的证明性材料，由企业对材料的真实性负责，并可供信用评价专家小组查证。</w:t>
            </w:r>
          </w:p>
          <w:p>
            <w:pPr>
              <w:spacing w:line="240" w:lineRule="exact"/>
              <w:ind w:left="-63" w:leftChars="-30" w:right="-63" w:rightChars="-30"/>
              <w:rPr>
                <w:color w:val="000000"/>
                <w:spacing w:val="-6"/>
                <w:kern w:val="0"/>
                <w:sz w:val="18"/>
                <w:szCs w:val="18"/>
              </w:rPr>
            </w:pPr>
            <w:r>
              <w:rPr>
                <w:color w:val="000000"/>
                <w:spacing w:val="-6"/>
                <w:kern w:val="0"/>
                <w:sz w:val="18"/>
                <w:szCs w:val="18"/>
              </w:rPr>
              <w:t>4</w:t>
            </w:r>
            <w:r>
              <w:rPr>
                <w:rFonts w:hint="eastAsia"/>
                <w:color w:val="000000"/>
                <w:spacing w:val="-6"/>
                <w:kern w:val="0"/>
                <w:sz w:val="18"/>
                <w:szCs w:val="18"/>
              </w:rPr>
              <w:t>、企业注册造价师入网接受继续教育人数的入网率</w:t>
            </w:r>
            <w:r>
              <w:rPr>
                <w:color w:val="000000"/>
                <w:spacing w:val="-6"/>
                <w:kern w:val="0"/>
                <w:sz w:val="18"/>
                <w:szCs w:val="18"/>
              </w:rPr>
              <w:t>=</w:t>
            </w:r>
            <w:r>
              <w:rPr>
                <w:rFonts w:hint="eastAsia"/>
                <w:color w:val="000000"/>
                <w:spacing w:val="-6"/>
                <w:kern w:val="0"/>
                <w:sz w:val="18"/>
                <w:szCs w:val="18"/>
              </w:rPr>
              <w:t>企业入网接受继续教育人数</w:t>
            </w:r>
            <w:r>
              <w:rPr>
                <w:color w:val="000000"/>
                <w:spacing w:val="-6"/>
                <w:kern w:val="0"/>
                <w:sz w:val="18"/>
                <w:szCs w:val="18"/>
              </w:rPr>
              <w:t>/</w:t>
            </w:r>
            <w:r>
              <w:rPr>
                <w:rFonts w:hint="eastAsia"/>
                <w:color w:val="000000"/>
                <w:spacing w:val="-6"/>
                <w:kern w:val="0"/>
                <w:sz w:val="18"/>
                <w:szCs w:val="18"/>
              </w:rPr>
              <w:t>企业注册造价师总人数×</w:t>
            </w:r>
            <w:r>
              <w:rPr>
                <w:color w:val="000000"/>
                <w:spacing w:val="-6"/>
                <w:kern w:val="0"/>
                <w:sz w:val="18"/>
                <w:szCs w:val="18"/>
              </w:rPr>
              <w:t>%</w:t>
            </w:r>
            <w:r>
              <w:rPr>
                <w:rFonts w:hint="eastAsia"/>
                <w:color w:val="000000"/>
                <w:spacing w:val="-6"/>
                <w:kern w:val="0"/>
                <w:sz w:val="18"/>
                <w:szCs w:val="18"/>
              </w:rPr>
              <w:t>，由信用评价系统从“江苏省工程造价从业人员远程教育平台”自动导入。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、企业有建设项目投资估算编审业绩，或建设项目经济评价业绩，或建设工程设计阶段概算造价控制咨询业绩的，具有其中一项的，计加</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、本省咨询企业承接省外工程咨询业务，有工程造价</w:t>
            </w:r>
            <w:r>
              <w:rPr>
                <w:color w:val="000000"/>
                <w:spacing w:val="-6"/>
                <w:kern w:val="0"/>
                <w:sz w:val="18"/>
                <w:szCs w:val="18"/>
              </w:rPr>
              <w:t>5000</w:t>
            </w:r>
            <w:r>
              <w:rPr>
                <w:rFonts w:hint="eastAsia" w:hAnsi="宋体"/>
                <w:color w:val="000000"/>
                <w:spacing w:val="-6"/>
                <w:kern w:val="0"/>
                <w:sz w:val="18"/>
                <w:szCs w:val="18"/>
              </w:rPr>
              <w:t>万元以上不足</w:t>
            </w:r>
            <w:r>
              <w:rPr>
                <w:color w:val="000000"/>
                <w:spacing w:val="-6"/>
                <w:kern w:val="0"/>
                <w:sz w:val="18"/>
                <w:szCs w:val="18"/>
              </w:rPr>
              <w:t>1</w:t>
            </w:r>
            <w:r>
              <w:rPr>
                <w:rFonts w:hint="eastAsia" w:hAnsi="宋体"/>
                <w:color w:val="000000"/>
                <w:spacing w:val="-6"/>
                <w:kern w:val="0"/>
                <w:sz w:val="18"/>
                <w:szCs w:val="18"/>
              </w:rPr>
              <w:t>亿元咨询业绩的，按咨询工程合同和咨询报告书计，每一个咨询工程计加</w:t>
            </w:r>
            <w:r>
              <w:rPr>
                <w:color w:val="000000"/>
                <w:spacing w:val="-6"/>
                <w:kern w:val="0"/>
                <w:sz w:val="18"/>
                <w:szCs w:val="18"/>
              </w:rPr>
              <w:t>0.1</w:t>
            </w:r>
            <w:r>
              <w:rPr>
                <w:rFonts w:hint="eastAsia" w:hAnsi="宋体"/>
                <w:color w:val="000000"/>
                <w:spacing w:val="-6"/>
                <w:kern w:val="0"/>
                <w:sz w:val="18"/>
                <w:szCs w:val="18"/>
              </w:rPr>
              <w:t>分；有工程造价</w:t>
            </w:r>
            <w:r>
              <w:rPr>
                <w:color w:val="000000"/>
                <w:spacing w:val="-6"/>
                <w:kern w:val="0"/>
                <w:sz w:val="18"/>
                <w:szCs w:val="18"/>
              </w:rPr>
              <w:t>1</w:t>
            </w:r>
            <w:r>
              <w:rPr>
                <w:rFonts w:hint="eastAsia" w:hAnsi="宋体"/>
                <w:color w:val="000000"/>
                <w:spacing w:val="-6"/>
                <w:kern w:val="0"/>
                <w:sz w:val="18"/>
                <w:szCs w:val="18"/>
              </w:rPr>
              <w:t>亿元及以上咨询业绩的，按咨询工程合同及咨询报告书计，每一个咨询工程计加</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、有</w:t>
            </w:r>
            <w:r>
              <w:rPr>
                <w:color w:val="000000"/>
                <w:spacing w:val="-6"/>
                <w:kern w:val="0"/>
                <w:sz w:val="18"/>
                <w:szCs w:val="18"/>
              </w:rPr>
              <w:t>PPP</w:t>
            </w:r>
            <w:r>
              <w:rPr>
                <w:rFonts w:hint="eastAsia" w:hAnsi="宋体"/>
                <w:color w:val="000000"/>
                <w:spacing w:val="-6"/>
                <w:kern w:val="0"/>
                <w:sz w:val="18"/>
                <w:szCs w:val="18"/>
              </w:rPr>
              <w:t>项目（进行物有所值论证、财政承受能力论证或提出初步实施方案</w:t>
            </w:r>
            <w:r>
              <w:rPr>
                <w:color w:val="000000"/>
                <w:spacing w:val="-6"/>
                <w:kern w:val="0"/>
                <w:sz w:val="18"/>
                <w:szCs w:val="18"/>
              </w:rPr>
              <w:t>)</w:t>
            </w:r>
            <w:r>
              <w:rPr>
                <w:rFonts w:hint="eastAsia" w:hAnsi="宋体"/>
                <w:color w:val="000000"/>
                <w:spacing w:val="-6"/>
                <w:kern w:val="0"/>
                <w:sz w:val="18"/>
                <w:szCs w:val="18"/>
              </w:rPr>
              <w:t>咨询服务业绩的，按</w:t>
            </w:r>
            <w:r>
              <w:rPr>
                <w:color w:val="000000"/>
                <w:spacing w:val="-6"/>
                <w:kern w:val="0"/>
                <w:sz w:val="18"/>
                <w:szCs w:val="18"/>
              </w:rPr>
              <w:t>PPP</w:t>
            </w:r>
            <w:r>
              <w:rPr>
                <w:rFonts w:hint="eastAsia" w:hAnsi="宋体"/>
                <w:color w:val="000000"/>
                <w:spacing w:val="-6"/>
                <w:kern w:val="0"/>
                <w:sz w:val="18"/>
                <w:szCs w:val="18"/>
              </w:rPr>
              <w:t>项目按咨询合同和咨询报告书计，每一个项目计加</w:t>
            </w:r>
            <w:r>
              <w:rPr>
                <w:color w:val="000000"/>
                <w:spacing w:val="-6"/>
                <w:kern w:val="0"/>
                <w:sz w:val="18"/>
                <w:szCs w:val="18"/>
              </w:rPr>
              <w:t>0.5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noWrap/>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4</w:t>
            </w:r>
            <w:r>
              <w:rPr>
                <w:rFonts w:hint="eastAsia" w:hAnsi="宋体"/>
                <w:color w:val="000000"/>
                <w:spacing w:val="-6"/>
                <w:kern w:val="0"/>
                <w:sz w:val="18"/>
                <w:szCs w:val="18"/>
              </w:rPr>
              <w:t>、开展全过程工程咨询业务（三个业务类型及以上），有全过程工程咨询业绩的，按全过程工程咨询项目计，每一个计加</w:t>
            </w:r>
            <w:r>
              <w:rPr>
                <w:color w:val="000000"/>
                <w:spacing w:val="-6"/>
                <w:kern w:val="0"/>
                <w:sz w:val="18"/>
                <w:szCs w:val="18"/>
              </w:rPr>
              <w:t>0.5</w:t>
            </w:r>
            <w:r>
              <w:rPr>
                <w:rFonts w:hint="eastAsia" w:hAnsi="宋体"/>
                <w:color w:val="000000"/>
                <w:spacing w:val="-6"/>
                <w:kern w:val="0"/>
                <w:sz w:val="18"/>
                <w:szCs w:val="18"/>
              </w:rPr>
              <w:t>分。</w:t>
            </w:r>
            <w:r>
              <w:rPr>
                <w:color w:val="000000"/>
                <w:spacing w:val="-6"/>
                <w:kern w:val="0"/>
                <w:sz w:val="18"/>
                <w:szCs w:val="18"/>
              </w:rPr>
              <w:t xml:space="preserve">   </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2</w:t>
            </w:r>
          </w:p>
        </w:tc>
        <w:tc>
          <w:tcPr>
            <w:tcW w:w="772" w:type="dxa"/>
            <w:vMerge w:val="restart"/>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专业咨询能力</w:t>
            </w:r>
          </w:p>
        </w:tc>
        <w:tc>
          <w:tcPr>
            <w:tcW w:w="5960" w:type="dxa"/>
            <w:noWrap/>
            <w:vAlign w:val="center"/>
          </w:tcPr>
          <w:p>
            <w:pPr>
              <w:widowControl/>
              <w:spacing w:line="240" w:lineRule="exact"/>
              <w:ind w:left="-63" w:leftChars="-30" w:right="-63" w:rightChars="-30"/>
              <w:rPr>
                <w:color w:val="000000"/>
                <w:spacing w:val="-6"/>
                <w:kern w:val="0"/>
                <w:sz w:val="18"/>
                <w:szCs w:val="18"/>
              </w:rPr>
            </w:pPr>
            <w:r>
              <w:rPr>
                <w:rFonts w:hint="eastAsia" w:hAnsi="宋体"/>
                <w:color w:val="000000"/>
                <w:spacing w:val="-6"/>
                <w:kern w:val="0"/>
                <w:sz w:val="18"/>
                <w:szCs w:val="18"/>
              </w:rPr>
              <w:t>根据国家</w:t>
            </w:r>
            <w:r>
              <w:rPr>
                <w:rFonts w:hint="eastAsia"/>
                <w:color w:val="000000"/>
                <w:spacing w:val="-6"/>
                <w:kern w:val="0"/>
                <w:sz w:val="18"/>
                <w:szCs w:val="18"/>
              </w:rPr>
              <w:t>“</w:t>
            </w:r>
            <w:r>
              <w:rPr>
                <w:rFonts w:hint="eastAsia" w:hAnsi="宋体"/>
                <w:color w:val="000000"/>
                <w:spacing w:val="-6"/>
                <w:kern w:val="0"/>
                <w:sz w:val="18"/>
                <w:szCs w:val="18"/>
              </w:rPr>
              <w:t>工程造价咨询统计报表制度（表</w:t>
            </w:r>
            <w:r>
              <w:rPr>
                <w:color w:val="000000"/>
                <w:spacing w:val="-6"/>
                <w:kern w:val="0"/>
                <w:sz w:val="18"/>
                <w:szCs w:val="18"/>
              </w:rPr>
              <w:t>3</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企业业务状况的</w:t>
            </w:r>
            <w:r>
              <w:rPr>
                <w:color w:val="000000"/>
                <w:spacing w:val="-6"/>
                <w:kern w:val="0"/>
                <w:sz w:val="18"/>
                <w:szCs w:val="18"/>
              </w:rPr>
              <w:t>23</w:t>
            </w:r>
            <w:r>
              <w:rPr>
                <w:rFonts w:hint="eastAsia" w:hAnsi="宋体"/>
                <w:color w:val="000000"/>
                <w:spacing w:val="-6"/>
                <w:kern w:val="0"/>
                <w:sz w:val="18"/>
                <w:szCs w:val="18"/>
              </w:rPr>
              <w:t>个专业分类，评价工程造价咨询企业的专业咨询能力。</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3</w:t>
            </w: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、企业专业咨询能力评价加分分值从</w:t>
            </w:r>
            <w:r>
              <w:rPr>
                <w:rFonts w:hint="eastAsia"/>
                <w:color w:val="000000"/>
                <w:spacing w:val="-6"/>
                <w:kern w:val="0"/>
                <w:sz w:val="18"/>
                <w:szCs w:val="18"/>
              </w:rPr>
              <w:t>“江苏省</w:t>
            </w:r>
            <w:r>
              <w:rPr>
                <w:rFonts w:hint="eastAsia" w:hAnsi="宋体"/>
                <w:color w:val="000000"/>
                <w:spacing w:val="-6"/>
                <w:kern w:val="0"/>
                <w:sz w:val="18"/>
                <w:szCs w:val="18"/>
              </w:rPr>
              <w:t>工程造价咨询企业专业咨询能力评价加分表</w:t>
            </w:r>
            <w:r>
              <w:rPr>
                <w:rFonts w:hint="eastAsia"/>
                <w:color w:val="000000"/>
                <w:spacing w:val="-6"/>
                <w:kern w:val="0"/>
                <w:sz w:val="18"/>
                <w:szCs w:val="18"/>
              </w:rPr>
              <w:t>”</w:t>
            </w:r>
            <w:r>
              <w:rPr>
                <w:rFonts w:hint="eastAsia" w:hAnsi="宋体"/>
                <w:color w:val="000000"/>
                <w:spacing w:val="-6"/>
                <w:kern w:val="0"/>
                <w:sz w:val="18"/>
                <w:szCs w:val="18"/>
              </w:rPr>
              <w:t>导入。</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71" w:type="dxa"/>
            <w:vMerge w:val="continue"/>
            <w:vAlign w:val="center"/>
          </w:tcPr>
          <w:p>
            <w:pPr>
              <w:widowControl/>
              <w:spacing w:line="240" w:lineRule="exact"/>
              <w:ind w:left="-63" w:leftChars="-30" w:right="-63" w:rightChars="-30"/>
              <w:jc w:val="left"/>
              <w:rPr>
                <w:rFonts w:eastAsia="方正黑体_GBK"/>
                <w:color w:val="000000"/>
                <w:spacing w:val="-6"/>
                <w:kern w:val="0"/>
                <w:sz w:val="18"/>
                <w:szCs w:val="18"/>
              </w:rPr>
            </w:pPr>
          </w:p>
        </w:tc>
        <w:tc>
          <w:tcPr>
            <w:tcW w:w="453" w:type="dxa"/>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3</w:t>
            </w:r>
          </w:p>
        </w:tc>
        <w:tc>
          <w:tcPr>
            <w:tcW w:w="772" w:type="dxa"/>
            <w:noWrap/>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行业活动</w:t>
            </w:r>
          </w:p>
        </w:tc>
        <w:tc>
          <w:tcPr>
            <w:tcW w:w="5960" w:type="dxa"/>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、企业未按要求参加省市行业管理机构组织的学习、交流、例会、培训、宣贯等活动的，按企业缺席次数计，每缺席一次计减</w:t>
            </w:r>
            <w:r>
              <w:rPr>
                <w:color w:val="000000"/>
                <w:spacing w:val="-6"/>
                <w:kern w:val="0"/>
                <w:sz w:val="18"/>
                <w:szCs w:val="18"/>
              </w:rPr>
              <w:t>1</w:t>
            </w:r>
            <w:r>
              <w:rPr>
                <w:rFonts w:hint="eastAsia" w:hAnsi="宋体"/>
                <w:color w:val="000000"/>
                <w:spacing w:val="-6"/>
                <w:kern w:val="0"/>
                <w:sz w:val="18"/>
                <w:szCs w:val="18"/>
              </w:rPr>
              <w:t>分；未按要求参加的，每次减</w:t>
            </w:r>
            <w:r>
              <w:rPr>
                <w:color w:val="000000"/>
                <w:spacing w:val="-6"/>
                <w:kern w:val="0"/>
                <w:sz w:val="18"/>
                <w:szCs w:val="18"/>
              </w:rPr>
              <w:t>0.5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noWrap/>
            <w:vAlign w:val="center"/>
          </w:tcPr>
          <w:p>
            <w:pPr>
              <w:widowControl/>
              <w:spacing w:line="240" w:lineRule="exact"/>
              <w:ind w:left="-63" w:leftChars="-30" w:right="-63" w:rightChars="-30"/>
              <w:jc w:val="center"/>
              <w:rPr>
                <w:color w:val="000000"/>
                <w:spacing w:val="-6"/>
                <w:kern w:val="0"/>
                <w:sz w:val="18"/>
                <w:szCs w:val="18"/>
              </w:rPr>
            </w:pPr>
          </w:p>
        </w:tc>
        <w:tc>
          <w:tcPr>
            <w:tcW w:w="509"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2</w:t>
            </w:r>
          </w:p>
        </w:tc>
        <w:tc>
          <w:tcPr>
            <w:tcW w:w="606" w:type="dxa"/>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4</w:t>
            </w:r>
          </w:p>
        </w:tc>
        <w:tc>
          <w:tcPr>
            <w:tcW w:w="772"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造价管理</w:t>
            </w: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、企业所派专家参加市级及以上行业管理机构组织的计价依据修编、补充定额编制，或业务规范、标准、管理办法制订，每参加一次计加</w:t>
            </w:r>
            <w:r>
              <w:rPr>
                <w:color w:val="000000"/>
                <w:spacing w:val="-6"/>
                <w:kern w:val="0"/>
                <w:sz w:val="18"/>
                <w:szCs w:val="18"/>
              </w:rPr>
              <w:t>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2</w:t>
            </w: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noWrap/>
            <w:vAlign w:val="center"/>
          </w:tcPr>
          <w:p>
            <w:pPr>
              <w:widowControl/>
              <w:spacing w:line="240" w:lineRule="exact"/>
              <w:ind w:left="-63" w:leftChars="-30" w:right="-63" w:rightChars="-30"/>
              <w:jc w:val="center"/>
              <w:rPr>
                <w:color w:val="000000"/>
                <w:spacing w:val="-6"/>
                <w:kern w:val="0"/>
                <w:sz w:val="18"/>
                <w:szCs w:val="18"/>
              </w:rPr>
            </w:pP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color w:val="000000"/>
                <w:spacing w:val="-6"/>
                <w:kern w:val="0"/>
                <w:sz w:val="18"/>
                <w:szCs w:val="18"/>
              </w:rPr>
              <w:t>、</w:t>
            </w:r>
            <w:r>
              <w:rPr>
                <w:color w:val="000000"/>
                <w:spacing w:val="-6"/>
                <w:kern w:val="0"/>
                <w:sz w:val="18"/>
                <w:szCs w:val="18"/>
              </w:rPr>
              <w:t>2018</w:t>
            </w:r>
            <w:r>
              <w:rPr>
                <w:rFonts w:hint="eastAsia"/>
                <w:color w:val="000000"/>
                <w:spacing w:val="-6"/>
                <w:kern w:val="0"/>
                <w:sz w:val="18"/>
                <w:szCs w:val="18"/>
              </w:rPr>
              <w:t>、</w:t>
            </w:r>
            <w:r>
              <w:rPr>
                <w:color w:val="000000"/>
                <w:spacing w:val="-6"/>
                <w:kern w:val="0"/>
                <w:sz w:val="18"/>
                <w:szCs w:val="18"/>
              </w:rPr>
              <w:t>2019</w:t>
            </w:r>
            <w:r>
              <w:rPr>
                <w:rFonts w:hint="eastAsia"/>
                <w:color w:val="000000"/>
                <w:spacing w:val="-6"/>
                <w:kern w:val="0"/>
                <w:sz w:val="18"/>
                <w:szCs w:val="18"/>
              </w:rPr>
              <w:t>、</w:t>
            </w:r>
            <w:r>
              <w:rPr>
                <w:color w:val="000000"/>
                <w:spacing w:val="-6"/>
                <w:kern w:val="0"/>
                <w:sz w:val="18"/>
                <w:szCs w:val="18"/>
              </w:rPr>
              <w:t>2020</w:t>
            </w:r>
            <w:r>
              <w:rPr>
                <w:rFonts w:hint="eastAsia"/>
                <w:color w:val="000000"/>
                <w:spacing w:val="-6"/>
                <w:kern w:val="0"/>
                <w:sz w:val="18"/>
                <w:szCs w:val="18"/>
              </w:rPr>
              <w:t>三个年度期间行业责任信用评价的证明性材料由企业申请信用评价时，通过信用评价系统自行在线上传。</w:t>
            </w:r>
          </w:p>
          <w:p>
            <w:pPr>
              <w:spacing w:line="240" w:lineRule="exact"/>
              <w:ind w:left="-63" w:leftChars="-30" w:right="-63" w:rightChars="-30"/>
              <w:rPr>
                <w:color w:val="000000"/>
                <w:spacing w:val="-6"/>
                <w:kern w:val="0"/>
                <w:sz w:val="18"/>
                <w:szCs w:val="18"/>
              </w:rPr>
            </w:pPr>
            <w:r>
              <w:rPr>
                <w:color w:val="000000"/>
                <w:spacing w:val="-6"/>
                <w:kern w:val="0"/>
                <w:sz w:val="18"/>
                <w:szCs w:val="18"/>
              </w:rPr>
              <w:t>2</w:t>
            </w:r>
            <w:r>
              <w:rPr>
                <w:rFonts w:hint="eastAsia"/>
                <w:color w:val="000000"/>
                <w:spacing w:val="-6"/>
                <w:kern w:val="0"/>
                <w:sz w:val="18"/>
                <w:szCs w:val="18"/>
              </w:rPr>
              <w:t>、</w:t>
            </w:r>
            <w:r>
              <w:rPr>
                <w:rFonts w:hint="eastAsia"/>
                <w:color w:val="000000"/>
                <w:spacing w:val="-10"/>
                <w:kern w:val="0"/>
                <w:sz w:val="18"/>
                <w:szCs w:val="18"/>
              </w:rPr>
              <w:t>企业注册所在地造价管理部门、造价管理协会可以对企业的行业责任信用出具证明性材料，由企业通过信用评价系统自行上传。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、企业所派专家参加省、市造价管理部门或造价管理协会组织的职业技能培训、出卷、阅卷、讲课的，每参加一次计加</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noWrap/>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、企业所派专家参与省市质量管理检查、</w:t>
            </w:r>
            <w:r>
              <w:rPr>
                <w:rFonts w:hint="eastAsia"/>
                <w:color w:val="000000"/>
                <w:spacing w:val="-6"/>
                <w:kern w:val="0"/>
                <w:sz w:val="18"/>
                <w:szCs w:val="18"/>
              </w:rPr>
              <w:t>“</w:t>
            </w:r>
            <w:r>
              <w:rPr>
                <w:rFonts w:hint="eastAsia" w:hAnsi="宋体"/>
                <w:color w:val="000000"/>
                <w:spacing w:val="-6"/>
                <w:kern w:val="0"/>
                <w:sz w:val="18"/>
                <w:szCs w:val="18"/>
              </w:rPr>
              <w:t>双随机</w:t>
            </w:r>
            <w:r>
              <w:rPr>
                <w:rFonts w:hint="eastAsia"/>
                <w:color w:val="000000"/>
                <w:spacing w:val="-6"/>
                <w:kern w:val="0"/>
                <w:sz w:val="18"/>
                <w:szCs w:val="18"/>
              </w:rPr>
              <w:t>”</w:t>
            </w:r>
            <w:r>
              <w:rPr>
                <w:rFonts w:hint="eastAsia" w:hAnsi="宋体"/>
                <w:color w:val="000000"/>
                <w:spacing w:val="-6"/>
                <w:kern w:val="0"/>
                <w:sz w:val="18"/>
                <w:szCs w:val="18"/>
              </w:rPr>
              <w:t>检查、专题工作调研的，每参加一次计加</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noWrap/>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4</w:t>
            </w:r>
            <w:r>
              <w:rPr>
                <w:rFonts w:hint="eastAsia" w:hAnsi="宋体"/>
                <w:color w:val="000000"/>
                <w:spacing w:val="-6"/>
                <w:kern w:val="0"/>
                <w:sz w:val="18"/>
                <w:szCs w:val="18"/>
              </w:rPr>
              <w:t>、企业所派专家为江苏省造价从业人员远程教育网提供视频课件的，按课件时长计，每</w:t>
            </w:r>
            <w:r>
              <w:rPr>
                <w:color w:val="000000"/>
                <w:spacing w:val="-6"/>
                <w:kern w:val="0"/>
                <w:sz w:val="18"/>
                <w:szCs w:val="18"/>
              </w:rPr>
              <w:t>1</w:t>
            </w:r>
            <w:r>
              <w:rPr>
                <w:rFonts w:hint="eastAsia" w:hAnsi="宋体"/>
                <w:color w:val="000000"/>
                <w:spacing w:val="-6"/>
                <w:kern w:val="0"/>
                <w:sz w:val="18"/>
                <w:szCs w:val="18"/>
              </w:rPr>
              <w:t>标准学时计加</w:t>
            </w:r>
            <w:r>
              <w:rPr>
                <w:color w:val="000000"/>
                <w:spacing w:val="-6"/>
                <w:kern w:val="0"/>
                <w:sz w:val="18"/>
                <w:szCs w:val="18"/>
              </w:rPr>
              <w:t>0.2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noWrap/>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vMerge w:val="restart"/>
            <w:vAlign w:val="center"/>
          </w:tcPr>
          <w:p>
            <w:pPr>
              <w:spacing w:line="240" w:lineRule="exact"/>
              <w:ind w:left="-63" w:leftChars="-30" w:right="-63" w:rightChars="-30"/>
              <w:jc w:val="left"/>
              <w:rPr>
                <w:rFonts w:eastAsia="方正黑体_GBK"/>
                <w:color w:val="000000"/>
                <w:spacing w:val="-6"/>
                <w:kern w:val="0"/>
                <w:sz w:val="18"/>
                <w:szCs w:val="18"/>
              </w:rPr>
            </w:pPr>
            <w:r>
              <w:rPr>
                <w:rFonts w:hint="eastAsia" w:eastAsia="方正黑体_GBK"/>
                <w:color w:val="000000"/>
                <w:spacing w:val="-6"/>
                <w:kern w:val="0"/>
                <w:sz w:val="18"/>
                <w:szCs w:val="18"/>
              </w:rPr>
              <w:t>七、行业责任信用评价</w:t>
            </w: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5</w:t>
            </w:r>
          </w:p>
        </w:tc>
        <w:tc>
          <w:tcPr>
            <w:tcW w:w="772"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继续教育</w:t>
            </w:r>
          </w:p>
        </w:tc>
        <w:tc>
          <w:tcPr>
            <w:tcW w:w="5960" w:type="dxa"/>
            <w:vAlign w:val="center"/>
          </w:tcPr>
          <w:p>
            <w:pPr>
              <w:widowControl/>
              <w:spacing w:line="24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企业应履行注册造价师继续教育义务，并按规定安排造价师完成年度学时。</w:t>
            </w:r>
          </w:p>
        </w:tc>
        <w:tc>
          <w:tcPr>
            <w:tcW w:w="502"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2</w:t>
            </w:r>
          </w:p>
        </w:tc>
        <w:tc>
          <w:tcPr>
            <w:tcW w:w="554"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color w:val="000000"/>
                <w:spacing w:val="-6"/>
                <w:kern w:val="0"/>
                <w:sz w:val="18"/>
                <w:szCs w:val="18"/>
              </w:rPr>
              <w:t>、</w:t>
            </w:r>
            <w:r>
              <w:rPr>
                <w:rFonts w:hint="eastAsia"/>
                <w:color w:val="000000"/>
                <w:spacing w:val="-10"/>
                <w:kern w:val="0"/>
                <w:sz w:val="18"/>
                <w:szCs w:val="18"/>
              </w:rPr>
              <w:t>企业上传的证明性材料，由企业对材料的真实性负责，并可供信用评价专家小组查证。</w:t>
            </w:r>
          </w:p>
          <w:p>
            <w:pPr>
              <w:spacing w:line="240" w:lineRule="exact"/>
              <w:ind w:left="-63" w:leftChars="-30" w:right="-63" w:rightChars="-30"/>
              <w:rPr>
                <w:color w:val="000000"/>
                <w:spacing w:val="-6"/>
                <w:kern w:val="0"/>
                <w:sz w:val="18"/>
                <w:szCs w:val="18"/>
              </w:rPr>
            </w:pPr>
            <w:r>
              <w:rPr>
                <w:color w:val="000000"/>
                <w:spacing w:val="-6"/>
                <w:kern w:val="0"/>
                <w:sz w:val="18"/>
                <w:szCs w:val="18"/>
              </w:rPr>
              <w:t>2</w:t>
            </w:r>
            <w:r>
              <w:rPr>
                <w:rFonts w:hint="eastAsia"/>
                <w:color w:val="000000"/>
                <w:spacing w:val="-6"/>
                <w:kern w:val="0"/>
                <w:sz w:val="18"/>
                <w:szCs w:val="18"/>
              </w:rPr>
              <w:t>、企业注册造价师入网接受继续教育人数的入网率</w:t>
            </w:r>
            <w:r>
              <w:rPr>
                <w:color w:val="000000"/>
                <w:spacing w:val="-6"/>
                <w:kern w:val="0"/>
                <w:sz w:val="18"/>
                <w:szCs w:val="18"/>
              </w:rPr>
              <w:t>=</w:t>
            </w:r>
            <w:r>
              <w:rPr>
                <w:rFonts w:hint="eastAsia"/>
                <w:color w:val="000000"/>
                <w:spacing w:val="-6"/>
                <w:kern w:val="0"/>
                <w:sz w:val="18"/>
                <w:szCs w:val="18"/>
              </w:rPr>
              <w:t>企业入网接受继续教育人数</w:t>
            </w:r>
            <w:r>
              <w:rPr>
                <w:color w:val="000000"/>
                <w:spacing w:val="-6"/>
                <w:kern w:val="0"/>
                <w:sz w:val="18"/>
                <w:szCs w:val="18"/>
              </w:rPr>
              <w:t>/</w:t>
            </w:r>
            <w:r>
              <w:rPr>
                <w:rFonts w:hint="eastAsia"/>
                <w:color w:val="000000"/>
                <w:spacing w:val="-6"/>
                <w:kern w:val="0"/>
                <w:sz w:val="18"/>
                <w:szCs w:val="18"/>
              </w:rPr>
              <w:t>企业注册造价师总人数×</w:t>
            </w:r>
            <w:r>
              <w:rPr>
                <w:color w:val="000000"/>
                <w:spacing w:val="-6"/>
                <w:kern w:val="0"/>
                <w:sz w:val="18"/>
                <w:szCs w:val="18"/>
              </w:rPr>
              <w:t>%</w:t>
            </w:r>
            <w:r>
              <w:rPr>
                <w:rFonts w:hint="eastAsia"/>
                <w:color w:val="000000"/>
                <w:spacing w:val="-6"/>
                <w:kern w:val="0"/>
                <w:sz w:val="18"/>
                <w:szCs w:val="18"/>
              </w:rPr>
              <w:t>，由信用评价系统从“江苏省工程造价从业人员远程教育平台”自动导入。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年企业注册造价师总人数</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人，入网接受继续教育的造价师</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人，入网率</w:t>
            </w:r>
            <w:r>
              <w:rPr>
                <w:color w:val="000000"/>
                <w:spacing w:val="-6"/>
                <w:kern w:val="0"/>
                <w:sz w:val="18"/>
                <w:szCs w:val="18"/>
                <w:u w:val="single"/>
              </w:rPr>
              <w:t xml:space="preserve">        </w:t>
            </w:r>
            <w:r>
              <w:rPr>
                <w:color w:val="000000"/>
                <w:spacing w:val="-6"/>
                <w:kern w:val="0"/>
                <w:sz w:val="18"/>
                <w:szCs w:val="18"/>
              </w:rPr>
              <w:t xml:space="preserve"> %</w:t>
            </w:r>
            <w:r>
              <w:rPr>
                <w:rFonts w:hint="eastAsia"/>
                <w:color w:val="000000"/>
                <w:spacing w:val="-6"/>
                <w:kern w:val="0"/>
                <w:sz w:val="18"/>
                <w:szCs w:val="18"/>
              </w:rPr>
              <w:t>。</w:t>
            </w:r>
          </w:p>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2020</w:t>
            </w:r>
            <w:r>
              <w:rPr>
                <w:rFonts w:hint="eastAsia" w:hAnsi="宋体"/>
                <w:color w:val="000000"/>
                <w:spacing w:val="-6"/>
                <w:kern w:val="0"/>
                <w:sz w:val="18"/>
                <w:szCs w:val="18"/>
              </w:rPr>
              <w:t>年企业注册造价师总人数</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人，入网接受继续教育的造价师</w:t>
            </w:r>
            <w:r>
              <w:rPr>
                <w:color w:val="000000"/>
                <w:spacing w:val="-6"/>
                <w:kern w:val="0"/>
                <w:sz w:val="18"/>
                <w:szCs w:val="18"/>
                <w:u w:val="single"/>
              </w:rPr>
              <w:t xml:space="preserve">      </w:t>
            </w:r>
            <w:r>
              <w:rPr>
                <w:rFonts w:hint="eastAsia" w:hAnsi="宋体"/>
                <w:color w:val="000000"/>
                <w:spacing w:val="-6"/>
                <w:kern w:val="0"/>
                <w:sz w:val="18"/>
                <w:szCs w:val="18"/>
              </w:rPr>
              <w:t>人，入网率</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w:t>
            </w:r>
          </w:p>
          <w:p>
            <w:pPr>
              <w:widowControl/>
              <w:spacing w:line="24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企业造价师入网接受继续教育两年平均入网率</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w:t>
            </w:r>
          </w:p>
        </w:tc>
        <w:tc>
          <w:tcPr>
            <w:tcW w:w="502"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40"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41"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、企业注册造价师通过</w:t>
            </w:r>
            <w:r>
              <w:rPr>
                <w:rFonts w:hint="eastAsia"/>
                <w:color w:val="000000"/>
                <w:spacing w:val="-6"/>
                <w:kern w:val="0"/>
                <w:sz w:val="18"/>
                <w:szCs w:val="18"/>
              </w:rPr>
              <w:t>“</w:t>
            </w:r>
            <w:r>
              <w:rPr>
                <w:rFonts w:hint="eastAsia" w:hAnsi="宋体"/>
                <w:color w:val="000000"/>
                <w:spacing w:val="-6"/>
                <w:kern w:val="0"/>
                <w:sz w:val="18"/>
                <w:szCs w:val="18"/>
              </w:rPr>
              <w:t>江苏省造价从业人员远程教育网</w:t>
            </w:r>
            <w:r>
              <w:rPr>
                <w:rFonts w:hint="eastAsia"/>
                <w:color w:val="000000"/>
                <w:spacing w:val="-6"/>
                <w:kern w:val="0"/>
                <w:sz w:val="18"/>
                <w:szCs w:val="18"/>
              </w:rPr>
              <w:t>”</w:t>
            </w:r>
            <w:r>
              <w:rPr>
                <w:rFonts w:hint="eastAsia" w:hAnsi="宋体"/>
                <w:color w:val="000000"/>
                <w:spacing w:val="-6"/>
                <w:kern w:val="0"/>
                <w:sz w:val="18"/>
                <w:szCs w:val="18"/>
              </w:rPr>
              <w:t>接受继续教育，入网接受继续教育人数的入网率超过</w:t>
            </w:r>
            <w:r>
              <w:rPr>
                <w:color w:val="000000"/>
                <w:spacing w:val="-6"/>
                <w:kern w:val="0"/>
                <w:sz w:val="18"/>
                <w:szCs w:val="18"/>
              </w:rPr>
              <w:t>80%</w:t>
            </w:r>
            <w:r>
              <w:rPr>
                <w:rFonts w:hint="eastAsia" w:hAnsi="宋体"/>
                <w:color w:val="000000"/>
                <w:spacing w:val="-6"/>
                <w:kern w:val="0"/>
                <w:sz w:val="18"/>
                <w:szCs w:val="18"/>
              </w:rPr>
              <w:t>，不足</w:t>
            </w:r>
            <w:r>
              <w:rPr>
                <w:color w:val="000000"/>
                <w:spacing w:val="-6"/>
                <w:kern w:val="0"/>
                <w:sz w:val="18"/>
                <w:szCs w:val="18"/>
              </w:rPr>
              <w:t>100%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2</w:t>
            </w:r>
            <w:r>
              <w:rPr>
                <w:rFonts w:hint="eastAsia" w:hAnsi="宋体"/>
                <w:color w:val="000000"/>
                <w:spacing w:val="-6"/>
                <w:kern w:val="0"/>
                <w:sz w:val="18"/>
                <w:szCs w:val="18"/>
              </w:rPr>
              <w:t>、企业注册造价师通过</w:t>
            </w:r>
            <w:r>
              <w:rPr>
                <w:rFonts w:hint="eastAsia"/>
                <w:color w:val="000000"/>
                <w:spacing w:val="-6"/>
                <w:kern w:val="0"/>
                <w:sz w:val="18"/>
                <w:szCs w:val="18"/>
              </w:rPr>
              <w:t>“</w:t>
            </w:r>
            <w:r>
              <w:rPr>
                <w:rFonts w:hint="eastAsia" w:hAnsi="宋体"/>
                <w:color w:val="000000"/>
                <w:spacing w:val="-6"/>
                <w:kern w:val="0"/>
                <w:sz w:val="18"/>
                <w:szCs w:val="18"/>
              </w:rPr>
              <w:t>江苏省造价从业人员远程教育网</w:t>
            </w:r>
            <w:r>
              <w:rPr>
                <w:rFonts w:hint="eastAsia"/>
                <w:color w:val="000000"/>
                <w:spacing w:val="-6"/>
                <w:kern w:val="0"/>
                <w:sz w:val="18"/>
                <w:szCs w:val="18"/>
              </w:rPr>
              <w:t>”</w:t>
            </w:r>
            <w:r>
              <w:rPr>
                <w:rFonts w:hint="eastAsia" w:hAnsi="宋体"/>
                <w:color w:val="000000"/>
                <w:spacing w:val="-6"/>
                <w:kern w:val="0"/>
                <w:sz w:val="18"/>
                <w:szCs w:val="18"/>
              </w:rPr>
              <w:t>接受继续教育，入网接受继续教育人数的入网率超过</w:t>
            </w:r>
            <w:r>
              <w:rPr>
                <w:color w:val="000000"/>
                <w:spacing w:val="-6"/>
                <w:kern w:val="0"/>
                <w:sz w:val="18"/>
                <w:szCs w:val="18"/>
              </w:rPr>
              <w:t>50%</w:t>
            </w:r>
            <w:r>
              <w:rPr>
                <w:rFonts w:hint="eastAsia" w:hAnsi="宋体"/>
                <w:color w:val="000000"/>
                <w:spacing w:val="-6"/>
                <w:kern w:val="0"/>
                <w:sz w:val="18"/>
                <w:szCs w:val="18"/>
              </w:rPr>
              <w:t>，不足</w:t>
            </w:r>
            <w:r>
              <w:rPr>
                <w:color w:val="000000"/>
                <w:spacing w:val="-6"/>
                <w:kern w:val="0"/>
                <w:sz w:val="18"/>
                <w:szCs w:val="18"/>
              </w:rPr>
              <w:t>80%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vAlign w:val="center"/>
          </w:tcPr>
          <w:p>
            <w:pPr>
              <w:widowControl/>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3</w:t>
            </w:r>
            <w:r>
              <w:rPr>
                <w:rFonts w:hint="eastAsia" w:hAnsi="宋体"/>
                <w:color w:val="000000"/>
                <w:spacing w:val="-6"/>
                <w:kern w:val="0"/>
                <w:sz w:val="18"/>
                <w:szCs w:val="18"/>
              </w:rPr>
              <w:t>、企业注册造价师通过</w:t>
            </w:r>
            <w:r>
              <w:rPr>
                <w:rFonts w:hint="eastAsia"/>
                <w:color w:val="000000"/>
                <w:spacing w:val="-6"/>
                <w:kern w:val="0"/>
                <w:sz w:val="18"/>
                <w:szCs w:val="18"/>
              </w:rPr>
              <w:t>“</w:t>
            </w:r>
            <w:r>
              <w:rPr>
                <w:rFonts w:hint="eastAsia" w:hAnsi="宋体"/>
                <w:color w:val="000000"/>
                <w:spacing w:val="-6"/>
                <w:kern w:val="0"/>
                <w:sz w:val="18"/>
                <w:szCs w:val="18"/>
              </w:rPr>
              <w:t>江苏省造价从业人员远程教育网</w:t>
            </w:r>
            <w:r>
              <w:rPr>
                <w:rFonts w:hint="eastAsia"/>
                <w:color w:val="000000"/>
                <w:spacing w:val="-6"/>
                <w:kern w:val="0"/>
                <w:sz w:val="18"/>
                <w:szCs w:val="18"/>
              </w:rPr>
              <w:t>”</w:t>
            </w:r>
            <w:r>
              <w:rPr>
                <w:rFonts w:hint="eastAsia" w:hAnsi="宋体"/>
                <w:color w:val="000000"/>
                <w:spacing w:val="-6"/>
                <w:kern w:val="0"/>
                <w:sz w:val="18"/>
                <w:szCs w:val="18"/>
              </w:rPr>
              <w:t>接受继续教育，入网接受继续教育人数的入网率未超过</w:t>
            </w:r>
            <w:r>
              <w:rPr>
                <w:color w:val="000000"/>
                <w:spacing w:val="-6"/>
                <w:kern w:val="0"/>
                <w:sz w:val="18"/>
                <w:szCs w:val="18"/>
              </w:rPr>
              <w:t>50%</w:t>
            </w:r>
            <w:r>
              <w:rPr>
                <w:rFonts w:hint="eastAsia" w:hAnsi="宋体"/>
                <w:color w:val="000000"/>
                <w:spacing w:val="-6"/>
                <w:kern w:val="0"/>
                <w:sz w:val="18"/>
                <w:szCs w:val="18"/>
              </w:rPr>
              <w:t>的，计加</w:t>
            </w:r>
            <w:r>
              <w:rPr>
                <w:color w:val="000000"/>
                <w:spacing w:val="-6"/>
                <w:kern w:val="0"/>
                <w:sz w:val="18"/>
                <w:szCs w:val="18"/>
              </w:rPr>
              <w:t>0.5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Merge w:val="restart"/>
            <w:vAlign w:val="center"/>
          </w:tcPr>
          <w:p>
            <w:pPr>
              <w:spacing w:line="240" w:lineRule="exact"/>
              <w:ind w:left="-63" w:leftChars="-30" w:right="-63" w:rightChars="-30"/>
              <w:rPr>
                <w:rFonts w:eastAsia="方正黑体_GBK"/>
                <w:color w:val="000000"/>
                <w:spacing w:val="-6"/>
                <w:kern w:val="0"/>
                <w:sz w:val="18"/>
                <w:szCs w:val="18"/>
              </w:rPr>
            </w:pPr>
            <w:r>
              <w:rPr>
                <w:rFonts w:hint="eastAsia" w:eastAsia="方正黑体_GBK"/>
                <w:color w:val="000000"/>
                <w:spacing w:val="-6"/>
                <w:kern w:val="0"/>
                <w:sz w:val="18"/>
                <w:szCs w:val="18"/>
              </w:rPr>
              <w:t>八、企业历史信用记录</w:t>
            </w: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1</w:t>
            </w:r>
          </w:p>
        </w:tc>
        <w:tc>
          <w:tcPr>
            <w:tcW w:w="772"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良好行为记录</w:t>
            </w:r>
          </w:p>
        </w:tc>
        <w:tc>
          <w:tcPr>
            <w:tcW w:w="5960" w:type="dxa"/>
            <w:vAlign w:val="center"/>
          </w:tcPr>
          <w:p>
            <w:pPr>
              <w:widowControl/>
              <w:spacing w:line="24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良好行为记录内容见附表</w:t>
            </w:r>
            <w:r>
              <w:rPr>
                <w:color w:val="000000"/>
                <w:spacing w:val="-6"/>
                <w:kern w:val="0"/>
                <w:sz w:val="18"/>
                <w:szCs w:val="18"/>
              </w:rPr>
              <w:t>4</w:t>
            </w:r>
            <w:r>
              <w:rPr>
                <w:rFonts w:hint="eastAsia"/>
                <w:color w:val="000000"/>
                <w:spacing w:val="-6"/>
                <w:kern w:val="0"/>
                <w:sz w:val="18"/>
                <w:szCs w:val="18"/>
              </w:rPr>
              <w:t>“</w:t>
            </w:r>
            <w:r>
              <w:rPr>
                <w:rFonts w:hint="eastAsia" w:hAnsi="宋体"/>
                <w:color w:val="000000"/>
                <w:spacing w:val="-6"/>
                <w:kern w:val="0"/>
                <w:sz w:val="18"/>
                <w:szCs w:val="18"/>
              </w:rPr>
              <w:t>江苏省工程造价咨询企业良好行为评价加分表</w:t>
            </w:r>
            <w:r>
              <w:rPr>
                <w:rFonts w:hint="eastAsia"/>
                <w:color w:val="000000"/>
                <w:spacing w:val="-6"/>
                <w:kern w:val="0"/>
                <w:sz w:val="18"/>
                <w:szCs w:val="18"/>
              </w:rPr>
              <w:t>”</w:t>
            </w:r>
            <w:r>
              <w:rPr>
                <w:rFonts w:hint="eastAsia" w:hAnsi="宋体"/>
                <w:color w:val="000000"/>
                <w:spacing w:val="-6"/>
                <w:kern w:val="0"/>
                <w:sz w:val="18"/>
                <w:szCs w:val="18"/>
              </w:rPr>
              <w:t>。</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15</w:t>
            </w: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restart"/>
            <w:vAlign w:val="center"/>
          </w:tcPr>
          <w:p>
            <w:pPr>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color w:val="000000"/>
                <w:spacing w:val="-6"/>
                <w:kern w:val="0"/>
                <w:sz w:val="18"/>
                <w:szCs w:val="18"/>
              </w:rPr>
              <w:t>、</w:t>
            </w:r>
            <w:r>
              <w:rPr>
                <w:color w:val="000000"/>
                <w:spacing w:val="-6"/>
                <w:kern w:val="0"/>
                <w:sz w:val="18"/>
                <w:szCs w:val="18"/>
              </w:rPr>
              <w:t>2018</w:t>
            </w:r>
            <w:r>
              <w:rPr>
                <w:rFonts w:hint="eastAsia"/>
                <w:color w:val="000000"/>
                <w:spacing w:val="-6"/>
                <w:kern w:val="0"/>
                <w:sz w:val="18"/>
                <w:szCs w:val="18"/>
              </w:rPr>
              <w:t>、</w:t>
            </w:r>
            <w:r>
              <w:rPr>
                <w:color w:val="000000"/>
                <w:spacing w:val="-6"/>
                <w:kern w:val="0"/>
                <w:sz w:val="18"/>
                <w:szCs w:val="18"/>
              </w:rPr>
              <w:t>2019</w:t>
            </w:r>
            <w:r>
              <w:rPr>
                <w:rFonts w:hint="eastAsia"/>
                <w:color w:val="000000"/>
                <w:spacing w:val="-6"/>
                <w:kern w:val="0"/>
                <w:sz w:val="18"/>
                <w:szCs w:val="18"/>
              </w:rPr>
              <w:t>、</w:t>
            </w:r>
            <w:r>
              <w:rPr>
                <w:color w:val="000000"/>
                <w:spacing w:val="-6"/>
                <w:kern w:val="0"/>
                <w:sz w:val="18"/>
                <w:szCs w:val="18"/>
              </w:rPr>
              <w:t>2020</w:t>
            </w:r>
            <w:r>
              <w:rPr>
                <w:rFonts w:hint="eastAsia"/>
                <w:color w:val="000000"/>
                <w:spacing w:val="-6"/>
                <w:kern w:val="0"/>
                <w:sz w:val="18"/>
                <w:szCs w:val="18"/>
              </w:rPr>
              <w:t>三个年度期间企业历史信用记录（良好行为记录、不良行为记录）由企业申请信用评价时，通过信用评价系统自行在线上传。</w:t>
            </w:r>
          </w:p>
          <w:p>
            <w:pPr>
              <w:spacing w:line="240" w:lineRule="exact"/>
              <w:ind w:left="-63" w:leftChars="-30" w:right="-63" w:rightChars="-30"/>
              <w:rPr>
                <w:color w:val="000000"/>
                <w:spacing w:val="-6"/>
                <w:kern w:val="0"/>
                <w:sz w:val="18"/>
                <w:szCs w:val="18"/>
              </w:rPr>
            </w:pPr>
            <w:r>
              <w:rPr>
                <w:color w:val="000000"/>
                <w:spacing w:val="-6"/>
                <w:kern w:val="0"/>
                <w:sz w:val="18"/>
                <w:szCs w:val="18"/>
              </w:rPr>
              <w:t>2</w:t>
            </w:r>
            <w:r>
              <w:rPr>
                <w:rFonts w:hint="eastAsia"/>
                <w:color w:val="000000"/>
                <w:spacing w:val="-6"/>
                <w:kern w:val="0"/>
                <w:sz w:val="18"/>
                <w:szCs w:val="18"/>
              </w:rPr>
              <w:t>、各级造价管理部门、造价管理协会可以通过信用评价系统上传企业的历史信用记录，供信用评价专家小组评价利用。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noWrap/>
            <w:vAlign w:val="center"/>
          </w:tcPr>
          <w:p>
            <w:pPr>
              <w:widowControl/>
              <w:spacing w:line="24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、良好行为的评价得分从附表</w:t>
            </w:r>
            <w:r>
              <w:rPr>
                <w:color w:val="000000"/>
                <w:spacing w:val="-6"/>
                <w:kern w:val="0"/>
                <w:sz w:val="18"/>
                <w:szCs w:val="18"/>
              </w:rPr>
              <w:t>4</w:t>
            </w:r>
            <w:r>
              <w:rPr>
                <w:rFonts w:hint="eastAsia"/>
                <w:color w:val="000000"/>
                <w:spacing w:val="-6"/>
                <w:kern w:val="0"/>
                <w:sz w:val="18"/>
                <w:szCs w:val="18"/>
              </w:rPr>
              <w:t>“</w:t>
            </w:r>
            <w:r>
              <w:rPr>
                <w:rFonts w:hint="eastAsia" w:hAnsi="宋体"/>
                <w:color w:val="000000"/>
                <w:spacing w:val="-6"/>
                <w:kern w:val="0"/>
                <w:sz w:val="18"/>
                <w:szCs w:val="18"/>
              </w:rPr>
              <w:t>江苏省工程造价咨询企业良好行为评分表</w:t>
            </w:r>
            <w:r>
              <w:rPr>
                <w:rFonts w:hint="eastAsia"/>
                <w:color w:val="000000"/>
                <w:spacing w:val="-6"/>
                <w:kern w:val="0"/>
                <w:sz w:val="18"/>
                <w:szCs w:val="18"/>
              </w:rPr>
              <w:t>”</w:t>
            </w:r>
            <w:r>
              <w:rPr>
                <w:rFonts w:hint="eastAsia" w:hAnsi="宋体"/>
                <w:color w:val="000000"/>
                <w:spacing w:val="-6"/>
                <w:kern w:val="0"/>
                <w:sz w:val="18"/>
                <w:szCs w:val="18"/>
              </w:rPr>
              <w:t>导入。企业良好行为评价加分限</w:t>
            </w:r>
            <w:r>
              <w:rPr>
                <w:color w:val="000000"/>
                <w:spacing w:val="-6"/>
                <w:kern w:val="0"/>
                <w:sz w:val="18"/>
                <w:szCs w:val="18"/>
              </w:rPr>
              <w:t>15</w:t>
            </w:r>
            <w:r>
              <w:rPr>
                <w:rFonts w:hint="eastAsia" w:hAnsi="宋体"/>
                <w:color w:val="000000"/>
                <w:spacing w:val="-6"/>
                <w:kern w:val="0"/>
                <w:sz w:val="18"/>
                <w:szCs w:val="18"/>
              </w:rPr>
              <w:t>分。</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 w:type="dxa"/>
            <w:vMerge w:val="continue"/>
            <w:vAlign w:val="center"/>
          </w:tcPr>
          <w:p>
            <w:pPr>
              <w:spacing w:line="240" w:lineRule="exact"/>
              <w:ind w:left="-63" w:leftChars="-30" w:right="-63" w:rightChars="-30"/>
              <w:jc w:val="left"/>
              <w:rPr>
                <w:rFonts w:eastAsia="方正黑体_GBK"/>
                <w:color w:val="000000"/>
                <w:spacing w:val="-6"/>
                <w:kern w:val="0"/>
                <w:sz w:val="18"/>
                <w:szCs w:val="18"/>
              </w:rPr>
            </w:pPr>
          </w:p>
        </w:tc>
        <w:tc>
          <w:tcPr>
            <w:tcW w:w="453"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b/>
                <w:bCs/>
                <w:color w:val="000000"/>
                <w:spacing w:val="-6"/>
                <w:kern w:val="0"/>
                <w:sz w:val="18"/>
                <w:szCs w:val="18"/>
              </w:rPr>
              <w:t>2</w:t>
            </w:r>
          </w:p>
        </w:tc>
        <w:tc>
          <w:tcPr>
            <w:tcW w:w="772" w:type="dxa"/>
            <w:vMerge w:val="restart"/>
            <w:noWrap/>
            <w:vAlign w:val="center"/>
          </w:tcPr>
          <w:p>
            <w:pPr>
              <w:widowControl/>
              <w:spacing w:line="240" w:lineRule="exact"/>
              <w:ind w:left="-63" w:leftChars="-30" w:right="-63" w:rightChars="-30"/>
              <w:jc w:val="center"/>
              <w:rPr>
                <w:b/>
                <w:bCs/>
                <w:color w:val="000000"/>
                <w:spacing w:val="-6"/>
                <w:kern w:val="0"/>
                <w:sz w:val="18"/>
                <w:szCs w:val="18"/>
              </w:rPr>
            </w:pPr>
            <w:r>
              <w:rPr>
                <w:rFonts w:hint="eastAsia" w:hAnsi="宋体"/>
                <w:b/>
                <w:bCs/>
                <w:color w:val="000000"/>
                <w:spacing w:val="-6"/>
                <w:kern w:val="0"/>
                <w:sz w:val="18"/>
                <w:szCs w:val="18"/>
              </w:rPr>
              <w:t>不良行为记录</w:t>
            </w:r>
          </w:p>
        </w:tc>
        <w:tc>
          <w:tcPr>
            <w:tcW w:w="5960" w:type="dxa"/>
            <w:vAlign w:val="center"/>
          </w:tcPr>
          <w:p>
            <w:pPr>
              <w:widowControl/>
              <w:spacing w:line="240" w:lineRule="exact"/>
              <w:ind w:left="-63" w:leftChars="-30" w:right="-63" w:rightChars="-30"/>
              <w:jc w:val="left"/>
              <w:rPr>
                <w:color w:val="000000"/>
                <w:spacing w:val="-6"/>
                <w:kern w:val="0"/>
                <w:sz w:val="18"/>
                <w:szCs w:val="18"/>
              </w:rPr>
            </w:pPr>
            <w:r>
              <w:rPr>
                <w:rFonts w:hint="eastAsia" w:hAnsi="宋体"/>
                <w:color w:val="000000"/>
                <w:spacing w:val="-6"/>
                <w:kern w:val="0"/>
                <w:sz w:val="18"/>
                <w:szCs w:val="18"/>
              </w:rPr>
              <w:t>不良行为记录内容见附表</w:t>
            </w:r>
            <w:r>
              <w:rPr>
                <w:color w:val="000000"/>
                <w:spacing w:val="-6"/>
                <w:kern w:val="0"/>
                <w:sz w:val="18"/>
                <w:szCs w:val="18"/>
              </w:rPr>
              <w:t>5</w:t>
            </w:r>
            <w:r>
              <w:rPr>
                <w:rFonts w:hint="eastAsia"/>
                <w:color w:val="000000"/>
                <w:spacing w:val="-6"/>
                <w:kern w:val="0"/>
                <w:sz w:val="18"/>
                <w:szCs w:val="18"/>
              </w:rPr>
              <w:t>“</w:t>
            </w:r>
            <w:r>
              <w:rPr>
                <w:rFonts w:hint="eastAsia" w:hAnsi="宋体"/>
                <w:color w:val="000000"/>
                <w:spacing w:val="-6"/>
                <w:kern w:val="0"/>
                <w:sz w:val="18"/>
                <w:szCs w:val="18"/>
              </w:rPr>
              <w:t>江苏省工程造价咨询企业不良行为评分表</w:t>
            </w:r>
            <w:r>
              <w:rPr>
                <w:rFonts w:hint="eastAsia"/>
                <w:color w:val="000000"/>
                <w:spacing w:val="-6"/>
                <w:kern w:val="0"/>
                <w:sz w:val="18"/>
                <w:szCs w:val="18"/>
              </w:rPr>
              <w:t>”</w:t>
            </w:r>
            <w:r>
              <w:rPr>
                <w:rFonts w:hint="eastAsia" w:hAnsi="宋体"/>
                <w:color w:val="000000"/>
                <w:spacing w:val="-6"/>
                <w:kern w:val="0"/>
                <w:sz w:val="18"/>
                <w:szCs w:val="18"/>
              </w:rPr>
              <w:t>。</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0"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438" w:type="dxa"/>
            <w:vMerge w:val="restart"/>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41" w:type="dxa"/>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w:t>
            </w:r>
          </w:p>
        </w:tc>
        <w:tc>
          <w:tcPr>
            <w:tcW w:w="509" w:type="dxa"/>
            <w:vMerge w:val="restart"/>
            <w:vAlign w:val="center"/>
          </w:tcPr>
          <w:p>
            <w:pPr>
              <w:widowControl/>
              <w:spacing w:line="240" w:lineRule="exact"/>
              <w:ind w:left="-63" w:leftChars="-30" w:right="-63" w:rightChars="-30"/>
              <w:jc w:val="center"/>
              <w:rPr>
                <w:color w:val="000000"/>
                <w:spacing w:val="-6"/>
                <w:kern w:val="0"/>
                <w:sz w:val="18"/>
                <w:szCs w:val="18"/>
              </w:rPr>
            </w:pPr>
          </w:p>
        </w:tc>
        <w:tc>
          <w:tcPr>
            <w:tcW w:w="606" w:type="dxa"/>
            <w:vMerge w:val="restart"/>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Merge w:val="continue"/>
            <w:vAlign w:val="center"/>
          </w:tcPr>
          <w:p>
            <w:pPr>
              <w:widowControl/>
              <w:spacing w:line="240" w:lineRule="exact"/>
              <w:ind w:left="-63" w:leftChars="-30" w:right="-63" w:rightChars="-30"/>
              <w:jc w:val="left"/>
              <w:rPr>
                <w:rFonts w:eastAsia="方正黑体_GBK"/>
                <w:color w:val="000000"/>
                <w:spacing w:val="-6"/>
                <w:kern w:val="0"/>
                <w:sz w:val="18"/>
                <w:szCs w:val="18"/>
              </w:rPr>
            </w:pPr>
          </w:p>
        </w:tc>
        <w:tc>
          <w:tcPr>
            <w:tcW w:w="453" w:type="dxa"/>
            <w:vMerge w:val="continue"/>
            <w:vAlign w:val="center"/>
          </w:tcPr>
          <w:p>
            <w:pPr>
              <w:widowControl/>
              <w:spacing w:line="240" w:lineRule="exact"/>
              <w:ind w:left="-63" w:leftChars="-30" w:right="-63" w:rightChars="-30"/>
              <w:jc w:val="center"/>
              <w:rPr>
                <w:b/>
                <w:bCs/>
                <w:color w:val="000000"/>
                <w:spacing w:val="-6"/>
                <w:kern w:val="0"/>
                <w:sz w:val="18"/>
                <w:szCs w:val="18"/>
              </w:rPr>
            </w:pPr>
          </w:p>
        </w:tc>
        <w:tc>
          <w:tcPr>
            <w:tcW w:w="772" w:type="dxa"/>
            <w:vMerge w:val="continue"/>
            <w:vAlign w:val="center"/>
          </w:tcPr>
          <w:p>
            <w:pPr>
              <w:widowControl/>
              <w:spacing w:line="240" w:lineRule="exact"/>
              <w:ind w:left="-63" w:leftChars="-30" w:right="-63" w:rightChars="-30"/>
              <w:jc w:val="left"/>
              <w:rPr>
                <w:b/>
                <w:bCs/>
                <w:color w:val="000000"/>
                <w:spacing w:val="-6"/>
                <w:kern w:val="0"/>
                <w:sz w:val="18"/>
                <w:szCs w:val="18"/>
              </w:rPr>
            </w:pPr>
          </w:p>
        </w:tc>
        <w:tc>
          <w:tcPr>
            <w:tcW w:w="5960" w:type="dxa"/>
            <w:vAlign w:val="center"/>
          </w:tcPr>
          <w:p>
            <w:pPr>
              <w:widowControl/>
              <w:spacing w:line="240" w:lineRule="exact"/>
              <w:ind w:left="-63" w:leftChars="-30" w:right="-63" w:rightChars="-30"/>
              <w:jc w:val="left"/>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、不良行为的评价得分从</w:t>
            </w:r>
            <w:r>
              <w:rPr>
                <w:rFonts w:hint="eastAsia"/>
                <w:color w:val="000000"/>
                <w:spacing w:val="-6"/>
                <w:kern w:val="0"/>
                <w:sz w:val="18"/>
                <w:szCs w:val="18"/>
              </w:rPr>
              <w:t>“</w:t>
            </w:r>
            <w:r>
              <w:rPr>
                <w:rFonts w:hint="eastAsia" w:hAnsi="宋体"/>
                <w:color w:val="000000"/>
                <w:spacing w:val="-6"/>
                <w:kern w:val="0"/>
                <w:sz w:val="18"/>
                <w:szCs w:val="18"/>
              </w:rPr>
              <w:t>江苏省工程造价咨询企业不良好行为评分表</w:t>
            </w:r>
            <w:r>
              <w:rPr>
                <w:rFonts w:hint="eastAsia"/>
                <w:color w:val="000000"/>
                <w:spacing w:val="-6"/>
                <w:kern w:val="0"/>
                <w:sz w:val="18"/>
                <w:szCs w:val="18"/>
              </w:rPr>
              <w:t>”</w:t>
            </w:r>
            <w:r>
              <w:rPr>
                <w:rFonts w:hint="eastAsia" w:hAnsi="宋体"/>
                <w:color w:val="000000"/>
                <w:spacing w:val="-6"/>
                <w:kern w:val="0"/>
                <w:sz w:val="18"/>
                <w:szCs w:val="18"/>
              </w:rPr>
              <w:t>导入。企业不良好行为评价减分不限。</w:t>
            </w:r>
          </w:p>
        </w:tc>
        <w:tc>
          <w:tcPr>
            <w:tcW w:w="502" w:type="dxa"/>
            <w:noWrap/>
            <w:vAlign w:val="center"/>
          </w:tcPr>
          <w:p>
            <w:pPr>
              <w:widowControl/>
              <w:spacing w:line="240" w:lineRule="exact"/>
              <w:ind w:left="-63" w:leftChars="-30" w:right="-63" w:rightChars="-30"/>
              <w:jc w:val="center"/>
              <w:rPr>
                <w:color w:val="000000"/>
                <w:spacing w:val="-6"/>
                <w:kern w:val="0"/>
                <w:sz w:val="18"/>
                <w:szCs w:val="18"/>
              </w:rPr>
            </w:pPr>
          </w:p>
        </w:tc>
        <w:tc>
          <w:tcPr>
            <w:tcW w:w="540" w:type="dxa"/>
            <w:noWrap/>
            <w:vAlign w:val="center"/>
          </w:tcPr>
          <w:p>
            <w:pPr>
              <w:widowControl/>
              <w:spacing w:line="240" w:lineRule="exact"/>
              <w:ind w:left="-63" w:leftChars="-30" w:right="-63" w:rightChars="-30"/>
              <w:jc w:val="center"/>
              <w:rPr>
                <w:color w:val="000000"/>
                <w:spacing w:val="-6"/>
                <w:kern w:val="0"/>
                <w:sz w:val="18"/>
                <w:szCs w:val="18"/>
              </w:rPr>
            </w:pPr>
          </w:p>
        </w:tc>
        <w:tc>
          <w:tcPr>
            <w:tcW w:w="438"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554" w:type="dxa"/>
            <w:noWrap/>
            <w:vAlign w:val="center"/>
          </w:tcPr>
          <w:p>
            <w:pPr>
              <w:widowControl/>
              <w:spacing w:line="240" w:lineRule="exact"/>
              <w:ind w:left="-63" w:leftChars="-30" w:right="-63" w:rightChars="-30"/>
              <w:jc w:val="center"/>
              <w:rPr>
                <w:color w:val="000000"/>
                <w:spacing w:val="-6"/>
                <w:kern w:val="0"/>
                <w:sz w:val="18"/>
                <w:szCs w:val="18"/>
              </w:rPr>
            </w:pPr>
          </w:p>
        </w:tc>
        <w:tc>
          <w:tcPr>
            <w:tcW w:w="541" w:type="dxa"/>
            <w:vAlign w:val="center"/>
          </w:tcPr>
          <w:p>
            <w:pPr>
              <w:widowControl/>
              <w:spacing w:line="240" w:lineRule="exact"/>
              <w:ind w:left="-63" w:leftChars="-30" w:right="-63" w:rightChars="-30"/>
              <w:jc w:val="center"/>
              <w:rPr>
                <w:color w:val="000000"/>
                <w:spacing w:val="-6"/>
                <w:kern w:val="0"/>
                <w:sz w:val="18"/>
                <w:szCs w:val="18"/>
              </w:rPr>
            </w:pPr>
          </w:p>
        </w:tc>
        <w:tc>
          <w:tcPr>
            <w:tcW w:w="509" w:type="dxa"/>
            <w:vMerge w:val="continue"/>
            <w:vAlign w:val="center"/>
          </w:tcPr>
          <w:p>
            <w:pPr>
              <w:widowControl/>
              <w:spacing w:line="240" w:lineRule="exact"/>
              <w:ind w:left="-63" w:leftChars="-30" w:right="-63" w:rightChars="-30"/>
              <w:jc w:val="center"/>
              <w:rPr>
                <w:color w:val="000000"/>
                <w:spacing w:val="-6"/>
                <w:kern w:val="0"/>
                <w:sz w:val="18"/>
                <w:szCs w:val="18"/>
              </w:rPr>
            </w:pPr>
          </w:p>
        </w:tc>
        <w:tc>
          <w:tcPr>
            <w:tcW w:w="606" w:type="dxa"/>
            <w:vMerge w:val="continue"/>
            <w:noWrap/>
            <w:vAlign w:val="center"/>
          </w:tcPr>
          <w:p>
            <w:pPr>
              <w:widowControl/>
              <w:spacing w:line="240" w:lineRule="exact"/>
              <w:ind w:left="-63" w:leftChars="-30" w:right="-63" w:rightChars="-30"/>
              <w:jc w:val="center"/>
              <w:rPr>
                <w:color w:val="000000"/>
                <w:spacing w:val="-6"/>
                <w:kern w:val="0"/>
                <w:sz w:val="18"/>
                <w:szCs w:val="18"/>
              </w:rPr>
            </w:pPr>
          </w:p>
        </w:tc>
        <w:tc>
          <w:tcPr>
            <w:tcW w:w="3214" w:type="dxa"/>
            <w:vMerge w:val="continue"/>
            <w:vAlign w:val="center"/>
          </w:tcPr>
          <w:p>
            <w:pPr>
              <w:widowControl/>
              <w:spacing w:line="240" w:lineRule="exact"/>
              <w:ind w:left="-63" w:leftChars="-30" w:right="-63" w:rightChars="-30"/>
              <w:rPr>
                <w:color w:val="000000"/>
                <w:spacing w:val="-6"/>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6" w:type="dxa"/>
            <w:gridSpan w:val="4"/>
            <w:tcBorders>
              <w:bottom w:val="single" w:color="auto" w:sz="8" w:space="0"/>
            </w:tcBorders>
            <w:noWrap/>
            <w:vAlign w:val="center"/>
          </w:tcPr>
          <w:p>
            <w:pPr>
              <w:widowControl/>
              <w:spacing w:line="240" w:lineRule="exact"/>
              <w:ind w:left="-63" w:leftChars="-30" w:right="-63" w:rightChars="-30"/>
              <w:jc w:val="center"/>
              <w:rPr>
                <w:rFonts w:eastAsia="方正黑体_GBK"/>
                <w:b/>
                <w:bCs/>
                <w:color w:val="000000"/>
                <w:spacing w:val="-6"/>
                <w:kern w:val="0"/>
                <w:sz w:val="18"/>
                <w:szCs w:val="18"/>
              </w:rPr>
            </w:pPr>
            <w:r>
              <w:rPr>
                <w:rFonts w:hint="eastAsia" w:eastAsia="方正黑体_GBK"/>
                <w:b/>
                <w:bCs/>
                <w:color w:val="000000"/>
                <w:spacing w:val="-6"/>
                <w:kern w:val="0"/>
                <w:sz w:val="18"/>
                <w:szCs w:val="18"/>
              </w:rPr>
              <w:t>评</w:t>
            </w:r>
            <w:r>
              <w:rPr>
                <w:rFonts w:eastAsia="方正黑体_GBK"/>
                <w:b/>
                <w:bCs/>
                <w:color w:val="000000"/>
                <w:spacing w:val="-6"/>
                <w:kern w:val="0"/>
                <w:sz w:val="18"/>
                <w:szCs w:val="18"/>
              </w:rPr>
              <w:t xml:space="preserve">  </w:t>
            </w:r>
            <w:r>
              <w:rPr>
                <w:rFonts w:hint="eastAsia" w:eastAsia="方正黑体_GBK"/>
                <w:b/>
                <w:bCs/>
                <w:color w:val="000000"/>
                <w:spacing w:val="-6"/>
                <w:kern w:val="0"/>
                <w:sz w:val="18"/>
                <w:szCs w:val="18"/>
              </w:rPr>
              <w:t>价</w:t>
            </w:r>
            <w:r>
              <w:rPr>
                <w:rFonts w:eastAsia="方正黑体_GBK"/>
                <w:b/>
                <w:bCs/>
                <w:color w:val="000000"/>
                <w:spacing w:val="-6"/>
                <w:kern w:val="0"/>
                <w:sz w:val="18"/>
                <w:szCs w:val="18"/>
              </w:rPr>
              <w:t xml:space="preserve">  </w:t>
            </w:r>
            <w:r>
              <w:rPr>
                <w:rFonts w:hint="eastAsia" w:eastAsia="方正黑体_GBK"/>
                <w:b/>
                <w:bCs/>
                <w:color w:val="000000"/>
                <w:spacing w:val="-6"/>
                <w:kern w:val="0"/>
                <w:sz w:val="18"/>
                <w:szCs w:val="18"/>
              </w:rPr>
              <w:t>得</w:t>
            </w:r>
            <w:r>
              <w:rPr>
                <w:rFonts w:eastAsia="方正黑体_GBK"/>
                <w:b/>
                <w:bCs/>
                <w:color w:val="000000"/>
                <w:spacing w:val="-6"/>
                <w:kern w:val="0"/>
                <w:sz w:val="18"/>
                <w:szCs w:val="18"/>
              </w:rPr>
              <w:t xml:space="preserve">  </w:t>
            </w:r>
            <w:r>
              <w:rPr>
                <w:rFonts w:hint="eastAsia" w:eastAsia="方正黑体_GBK"/>
                <w:b/>
                <w:bCs/>
                <w:color w:val="000000"/>
                <w:spacing w:val="-6"/>
                <w:kern w:val="0"/>
                <w:sz w:val="18"/>
                <w:szCs w:val="18"/>
              </w:rPr>
              <w:t>分</w:t>
            </w:r>
            <w:r>
              <w:rPr>
                <w:rFonts w:eastAsia="方正黑体_GBK"/>
                <w:b/>
                <w:bCs/>
                <w:color w:val="000000"/>
                <w:spacing w:val="-6"/>
                <w:kern w:val="0"/>
                <w:sz w:val="18"/>
                <w:szCs w:val="18"/>
              </w:rPr>
              <w:t xml:space="preserve">  </w:t>
            </w:r>
            <w:r>
              <w:rPr>
                <w:rFonts w:hint="eastAsia" w:eastAsia="方正黑体_GBK"/>
                <w:b/>
                <w:bCs/>
                <w:color w:val="000000"/>
                <w:spacing w:val="-6"/>
                <w:kern w:val="0"/>
                <w:sz w:val="18"/>
                <w:szCs w:val="18"/>
              </w:rPr>
              <w:t>合</w:t>
            </w:r>
            <w:r>
              <w:rPr>
                <w:rFonts w:eastAsia="方正黑体_GBK"/>
                <w:b/>
                <w:bCs/>
                <w:color w:val="000000"/>
                <w:spacing w:val="-6"/>
                <w:kern w:val="0"/>
                <w:sz w:val="18"/>
                <w:szCs w:val="18"/>
              </w:rPr>
              <w:t xml:space="preserve">  </w:t>
            </w:r>
            <w:r>
              <w:rPr>
                <w:rFonts w:hint="eastAsia" w:eastAsia="方正黑体_GBK"/>
                <w:b/>
                <w:bCs/>
                <w:color w:val="000000"/>
                <w:spacing w:val="-6"/>
                <w:kern w:val="0"/>
                <w:sz w:val="18"/>
                <w:szCs w:val="18"/>
              </w:rPr>
              <w:t>计</w:t>
            </w:r>
          </w:p>
        </w:tc>
        <w:tc>
          <w:tcPr>
            <w:tcW w:w="502" w:type="dxa"/>
            <w:tcBorders>
              <w:bottom w:val="single" w:color="auto" w:sz="8" w:space="0"/>
            </w:tcBorders>
            <w:noWrap/>
            <w:vAlign w:val="center"/>
          </w:tcPr>
          <w:p>
            <w:pPr>
              <w:widowControl/>
              <w:spacing w:line="240" w:lineRule="exact"/>
              <w:ind w:left="-63" w:leftChars="-30" w:right="-63" w:rightChars="-30"/>
              <w:jc w:val="center"/>
              <w:rPr>
                <w:color w:val="000000"/>
                <w:spacing w:val="-6"/>
                <w:kern w:val="0"/>
                <w:sz w:val="18"/>
                <w:szCs w:val="18"/>
              </w:rPr>
            </w:pPr>
          </w:p>
        </w:tc>
        <w:tc>
          <w:tcPr>
            <w:tcW w:w="540" w:type="dxa"/>
            <w:tcBorders>
              <w:bottom w:val="single" w:color="auto" w:sz="8" w:space="0"/>
            </w:tcBorders>
            <w:noWrap/>
            <w:vAlign w:val="center"/>
          </w:tcPr>
          <w:p>
            <w:pPr>
              <w:widowControl/>
              <w:spacing w:line="240" w:lineRule="exact"/>
              <w:ind w:left="-63" w:leftChars="-30" w:right="-63" w:rightChars="-30"/>
              <w:jc w:val="center"/>
              <w:rPr>
                <w:color w:val="000000"/>
                <w:spacing w:val="-6"/>
                <w:kern w:val="0"/>
                <w:sz w:val="18"/>
                <w:szCs w:val="18"/>
              </w:rPr>
            </w:pPr>
          </w:p>
        </w:tc>
        <w:tc>
          <w:tcPr>
            <w:tcW w:w="438" w:type="dxa"/>
            <w:tcBorders>
              <w:bottom w:val="single" w:color="auto" w:sz="8" w:space="0"/>
            </w:tcBorders>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40</w:t>
            </w:r>
          </w:p>
        </w:tc>
        <w:tc>
          <w:tcPr>
            <w:tcW w:w="554" w:type="dxa"/>
            <w:tcBorders>
              <w:bottom w:val="single" w:color="auto" w:sz="8" w:space="0"/>
            </w:tcBorders>
            <w:noWrap/>
            <w:vAlign w:val="center"/>
          </w:tcPr>
          <w:p>
            <w:pPr>
              <w:widowControl/>
              <w:spacing w:line="240" w:lineRule="exact"/>
              <w:ind w:left="-63" w:leftChars="-30" w:right="-63" w:rightChars="-30"/>
              <w:jc w:val="center"/>
              <w:rPr>
                <w:color w:val="000000"/>
                <w:spacing w:val="-6"/>
                <w:kern w:val="0"/>
                <w:sz w:val="18"/>
                <w:szCs w:val="18"/>
              </w:rPr>
            </w:pPr>
          </w:p>
        </w:tc>
        <w:tc>
          <w:tcPr>
            <w:tcW w:w="541" w:type="dxa"/>
            <w:tcBorders>
              <w:bottom w:val="single" w:color="auto" w:sz="8" w:space="0"/>
            </w:tcBorders>
            <w:noWrap/>
            <w:vAlign w:val="center"/>
          </w:tcPr>
          <w:p>
            <w:pPr>
              <w:widowControl/>
              <w:spacing w:line="240" w:lineRule="exact"/>
              <w:ind w:left="-63" w:leftChars="-30" w:right="-63" w:rightChars="-30"/>
              <w:jc w:val="center"/>
              <w:rPr>
                <w:color w:val="000000"/>
                <w:spacing w:val="-6"/>
                <w:kern w:val="0"/>
                <w:sz w:val="18"/>
                <w:szCs w:val="18"/>
              </w:rPr>
            </w:pPr>
          </w:p>
        </w:tc>
        <w:tc>
          <w:tcPr>
            <w:tcW w:w="509" w:type="dxa"/>
            <w:tcBorders>
              <w:bottom w:val="single" w:color="auto" w:sz="8" w:space="0"/>
            </w:tcBorders>
            <w:noWrap/>
            <w:vAlign w:val="center"/>
          </w:tcPr>
          <w:p>
            <w:pPr>
              <w:widowControl/>
              <w:spacing w:line="240" w:lineRule="exact"/>
              <w:ind w:left="-63" w:leftChars="-30" w:right="-63" w:rightChars="-30"/>
              <w:jc w:val="center"/>
              <w:rPr>
                <w:color w:val="000000"/>
                <w:spacing w:val="-6"/>
                <w:kern w:val="0"/>
                <w:sz w:val="18"/>
                <w:szCs w:val="18"/>
              </w:rPr>
            </w:pPr>
            <w:r>
              <w:rPr>
                <w:color w:val="000000"/>
                <w:spacing w:val="-6"/>
                <w:kern w:val="0"/>
                <w:sz w:val="18"/>
                <w:szCs w:val="18"/>
              </w:rPr>
              <w:t>37.5</w:t>
            </w:r>
          </w:p>
        </w:tc>
        <w:tc>
          <w:tcPr>
            <w:tcW w:w="606" w:type="dxa"/>
            <w:tcBorders>
              <w:bottom w:val="single" w:color="auto" w:sz="8" w:space="0"/>
            </w:tcBorders>
            <w:noWrap/>
            <w:vAlign w:val="center"/>
          </w:tcPr>
          <w:p>
            <w:pPr>
              <w:widowControl/>
              <w:spacing w:line="240" w:lineRule="exact"/>
              <w:ind w:left="-63" w:leftChars="-30" w:right="-63" w:rightChars="-30"/>
              <w:jc w:val="center"/>
              <w:rPr>
                <w:color w:val="000000"/>
                <w:spacing w:val="-6"/>
                <w:kern w:val="0"/>
                <w:sz w:val="18"/>
                <w:szCs w:val="18"/>
              </w:rPr>
            </w:pPr>
          </w:p>
        </w:tc>
        <w:tc>
          <w:tcPr>
            <w:tcW w:w="3214" w:type="dxa"/>
            <w:tcBorders>
              <w:bottom w:val="single" w:color="auto" w:sz="8" w:space="0"/>
            </w:tcBorders>
            <w:noWrap/>
            <w:vAlign w:val="center"/>
          </w:tcPr>
          <w:p>
            <w:pPr>
              <w:widowControl/>
              <w:spacing w:line="240" w:lineRule="exact"/>
              <w:ind w:left="-63" w:leftChars="-30" w:right="-63" w:rightChars="-30"/>
              <w:rPr>
                <w:color w:val="000000"/>
                <w:spacing w:val="-6"/>
                <w:kern w:val="0"/>
                <w:sz w:val="18"/>
                <w:szCs w:val="18"/>
              </w:rPr>
            </w:pPr>
            <w:r>
              <w:rPr>
                <w:rFonts w:hint="eastAsia" w:hAnsi="宋体"/>
                <w:color w:val="000000"/>
                <w:spacing w:val="-6"/>
                <w:kern w:val="0"/>
                <w:sz w:val="18"/>
                <w:szCs w:val="18"/>
              </w:rPr>
              <w:t>　</w:t>
            </w:r>
          </w:p>
        </w:tc>
      </w:tr>
    </w:tbl>
    <w:p>
      <w:pPr>
        <w:spacing w:line="240" w:lineRule="exact"/>
        <w:rPr>
          <w:color w:val="000000"/>
          <w:sz w:val="18"/>
          <w:szCs w:val="18"/>
        </w:rPr>
      </w:pPr>
    </w:p>
    <w:p>
      <w:pPr>
        <w:spacing w:line="240" w:lineRule="exact"/>
        <w:rPr>
          <w:color w:val="000000"/>
          <w:sz w:val="18"/>
          <w:szCs w:val="18"/>
        </w:rPr>
      </w:pPr>
      <w:r>
        <w:rPr>
          <w:rFonts w:hint="eastAsia"/>
          <w:color w:val="000000"/>
          <w:sz w:val="18"/>
          <w:szCs w:val="18"/>
        </w:rPr>
        <w:t>备注：</w:t>
      </w:r>
      <w:r>
        <w:rPr>
          <w:color w:val="000000"/>
          <w:sz w:val="18"/>
          <w:szCs w:val="18"/>
        </w:rPr>
        <w:t>1</w:t>
      </w:r>
      <w:r>
        <w:rPr>
          <w:rFonts w:hint="eastAsia"/>
          <w:color w:val="000000"/>
          <w:sz w:val="18"/>
          <w:szCs w:val="18"/>
        </w:rPr>
        <w:t>、本表用于造价咨询企业的信用评价，起评分为</w:t>
      </w:r>
      <w:r>
        <w:rPr>
          <w:color w:val="000000"/>
          <w:sz w:val="18"/>
          <w:szCs w:val="18"/>
        </w:rPr>
        <w:t>100</w:t>
      </w:r>
      <w:r>
        <w:rPr>
          <w:rFonts w:hint="eastAsia"/>
          <w:color w:val="000000"/>
          <w:sz w:val="18"/>
          <w:szCs w:val="18"/>
        </w:rPr>
        <w:t>分。</w:t>
      </w:r>
    </w:p>
    <w:p>
      <w:pPr>
        <w:spacing w:line="240" w:lineRule="exact"/>
        <w:ind w:firstLine="540" w:firstLineChars="300"/>
        <w:rPr>
          <w:color w:val="000000"/>
          <w:sz w:val="18"/>
          <w:szCs w:val="18"/>
        </w:rPr>
      </w:pPr>
      <w:r>
        <w:rPr>
          <w:color w:val="000000"/>
          <w:sz w:val="18"/>
          <w:szCs w:val="18"/>
        </w:rPr>
        <w:t>2</w:t>
      </w:r>
      <w:r>
        <w:rPr>
          <w:rFonts w:hint="eastAsia"/>
          <w:color w:val="000000"/>
          <w:sz w:val="18"/>
          <w:szCs w:val="18"/>
        </w:rPr>
        <w:t>、本标准设“评价加分”和“评价减分”，用于对各个评价事项进行评价赋分。其中“评价加分”限额</w:t>
      </w:r>
      <w:r>
        <w:rPr>
          <w:color w:val="000000"/>
          <w:sz w:val="18"/>
          <w:szCs w:val="18"/>
        </w:rPr>
        <w:t>40</w:t>
      </w:r>
      <w:r>
        <w:rPr>
          <w:rFonts w:hint="eastAsia"/>
          <w:color w:val="000000"/>
          <w:sz w:val="18"/>
          <w:szCs w:val="18"/>
        </w:rPr>
        <w:t>分，“评价减分”限额（不含不良行为评价减分）</w:t>
      </w:r>
      <w:r>
        <w:rPr>
          <w:color w:val="000000"/>
          <w:sz w:val="18"/>
          <w:szCs w:val="18"/>
        </w:rPr>
        <w:t>37.5</w:t>
      </w:r>
      <w:r>
        <w:rPr>
          <w:rFonts w:hint="eastAsia"/>
          <w:color w:val="000000"/>
          <w:sz w:val="18"/>
          <w:szCs w:val="18"/>
        </w:rPr>
        <w:t>分。</w:t>
      </w:r>
    </w:p>
    <w:p>
      <w:pPr>
        <w:spacing w:line="240" w:lineRule="exact"/>
        <w:ind w:firstLine="540" w:firstLineChars="300"/>
        <w:rPr>
          <w:color w:val="000000"/>
          <w:sz w:val="18"/>
          <w:szCs w:val="18"/>
        </w:rPr>
      </w:pPr>
      <w:r>
        <w:rPr>
          <w:color w:val="000000"/>
          <w:sz w:val="18"/>
          <w:szCs w:val="18"/>
        </w:rPr>
        <w:t>3</w:t>
      </w:r>
      <w:r>
        <w:rPr>
          <w:rFonts w:hint="eastAsia"/>
          <w:color w:val="000000"/>
          <w:sz w:val="18"/>
          <w:szCs w:val="18"/>
        </w:rPr>
        <w:t>、评价加分分值、评价减分分值、评价得分、评价得分合计，按四舍五入保留小数点两位处理。</w:t>
      </w:r>
    </w:p>
    <w:p>
      <w:pPr>
        <w:rPr>
          <w:rFonts w:eastAsia="方正黑体_GBK"/>
          <w:color w:val="000000"/>
          <w:kern w:val="0"/>
          <w:sz w:val="32"/>
          <w:szCs w:val="32"/>
        </w:rPr>
      </w:pPr>
      <w:r>
        <w:rPr>
          <w:color w:val="000000"/>
        </w:rPr>
        <w:br w:type="column"/>
      </w:r>
      <w:r>
        <w:rPr>
          <w:rFonts w:hint="eastAsia" w:eastAsia="方正黑体_GBK"/>
          <w:color w:val="000000"/>
          <w:kern w:val="0"/>
          <w:sz w:val="32"/>
          <w:szCs w:val="32"/>
        </w:rPr>
        <w:t>附表</w:t>
      </w:r>
      <w:r>
        <w:rPr>
          <w:rFonts w:eastAsia="方正黑体_GBK"/>
          <w:color w:val="000000"/>
          <w:kern w:val="0"/>
          <w:sz w:val="32"/>
          <w:szCs w:val="32"/>
        </w:rPr>
        <w:t>3</w:t>
      </w:r>
    </w:p>
    <w:p>
      <w:pPr>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江苏省工程造价咨询企业专业咨询能力评价加分表</w:t>
      </w:r>
    </w:p>
    <w:p>
      <w:pPr>
        <w:spacing w:line="240" w:lineRule="exact"/>
        <w:rPr>
          <w:color w:val="000000"/>
        </w:rPr>
      </w:pPr>
    </w:p>
    <w:tbl>
      <w:tblPr>
        <w:tblStyle w:val="7"/>
        <w:tblW w:w="5239" w:type="pct"/>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56"/>
        <w:gridCol w:w="6945"/>
        <w:gridCol w:w="604"/>
        <w:gridCol w:w="604"/>
        <w:gridCol w:w="604"/>
        <w:gridCol w:w="605"/>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81" w:type="pct"/>
            <w:vMerge w:val="restart"/>
            <w:noWrap/>
            <w:vAlign w:val="center"/>
          </w:tcPr>
          <w:p>
            <w:pPr>
              <w:widowControl/>
              <w:spacing w:line="26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序号</w:t>
            </w:r>
          </w:p>
        </w:tc>
        <w:tc>
          <w:tcPr>
            <w:tcW w:w="522" w:type="pct"/>
            <w:vMerge w:val="restart"/>
            <w:vAlign w:val="center"/>
          </w:tcPr>
          <w:p>
            <w:pPr>
              <w:widowControl/>
              <w:spacing w:line="26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企业专业咨询</w:t>
            </w:r>
          </w:p>
          <w:p>
            <w:pPr>
              <w:widowControl/>
              <w:spacing w:line="26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能力内容</w:t>
            </w:r>
          </w:p>
        </w:tc>
        <w:tc>
          <w:tcPr>
            <w:tcW w:w="2330" w:type="pct"/>
            <w:vMerge w:val="restart"/>
            <w:noWrap/>
            <w:vAlign w:val="center"/>
          </w:tcPr>
          <w:p>
            <w:pPr>
              <w:widowControl/>
              <w:spacing w:line="26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评</w:t>
            </w:r>
            <w:r>
              <w:rPr>
                <w:rFonts w:eastAsia="方正黑体_GBK"/>
                <w:color w:val="000000"/>
                <w:spacing w:val="-6"/>
                <w:kern w:val="0"/>
                <w:sz w:val="18"/>
                <w:szCs w:val="18"/>
              </w:rPr>
              <w:t xml:space="preserve">      </w:t>
            </w:r>
            <w:r>
              <w:rPr>
                <w:rFonts w:hint="eastAsia" w:eastAsia="方正黑体_GBK"/>
                <w:color w:val="000000"/>
                <w:spacing w:val="-6"/>
                <w:kern w:val="0"/>
                <w:sz w:val="18"/>
                <w:szCs w:val="18"/>
              </w:rPr>
              <w:t>分</w:t>
            </w:r>
            <w:r>
              <w:rPr>
                <w:rFonts w:eastAsia="方正黑体_GBK"/>
                <w:color w:val="000000"/>
                <w:spacing w:val="-6"/>
                <w:kern w:val="0"/>
                <w:sz w:val="18"/>
                <w:szCs w:val="18"/>
              </w:rPr>
              <w:t xml:space="preserve">      </w:t>
            </w:r>
            <w:r>
              <w:rPr>
                <w:rFonts w:hint="eastAsia" w:eastAsia="方正黑体_GBK"/>
                <w:color w:val="000000"/>
                <w:spacing w:val="-6"/>
                <w:kern w:val="0"/>
                <w:sz w:val="18"/>
                <w:szCs w:val="18"/>
              </w:rPr>
              <w:t>细</w:t>
            </w:r>
            <w:r>
              <w:rPr>
                <w:rFonts w:eastAsia="方正黑体_GBK"/>
                <w:color w:val="000000"/>
                <w:spacing w:val="-6"/>
                <w:kern w:val="0"/>
                <w:sz w:val="18"/>
                <w:szCs w:val="18"/>
              </w:rPr>
              <w:t xml:space="preserve">      </w:t>
            </w:r>
            <w:r>
              <w:rPr>
                <w:rFonts w:hint="eastAsia" w:eastAsia="方正黑体_GBK"/>
                <w:color w:val="000000"/>
                <w:spacing w:val="-6"/>
                <w:kern w:val="0"/>
                <w:sz w:val="18"/>
                <w:szCs w:val="18"/>
              </w:rPr>
              <w:t>则</w:t>
            </w:r>
          </w:p>
        </w:tc>
        <w:tc>
          <w:tcPr>
            <w:tcW w:w="811" w:type="pct"/>
            <w:gridSpan w:val="4"/>
            <w:noWrap/>
            <w:vAlign w:val="center"/>
          </w:tcPr>
          <w:p>
            <w:pPr>
              <w:widowControl/>
              <w:spacing w:line="26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评价加分</w:t>
            </w:r>
          </w:p>
        </w:tc>
        <w:tc>
          <w:tcPr>
            <w:tcW w:w="1054" w:type="pct"/>
            <w:vMerge w:val="restart"/>
            <w:vAlign w:val="center"/>
          </w:tcPr>
          <w:p>
            <w:pPr>
              <w:widowControl/>
              <w:spacing w:line="26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信息采集来源和资料提供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81" w:type="pct"/>
            <w:vMerge w:val="continue"/>
            <w:vAlign w:val="center"/>
          </w:tcPr>
          <w:p>
            <w:pPr>
              <w:widowControl/>
              <w:spacing w:line="260" w:lineRule="exact"/>
              <w:ind w:left="-63" w:leftChars="-30" w:right="-63" w:rightChars="-30"/>
              <w:jc w:val="left"/>
              <w:rPr>
                <w:rFonts w:eastAsia="方正黑体_GBK"/>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rFonts w:eastAsia="方正黑体_GBK"/>
                <w:color w:val="000000"/>
                <w:spacing w:val="-6"/>
                <w:kern w:val="0"/>
                <w:sz w:val="18"/>
                <w:szCs w:val="18"/>
              </w:rPr>
            </w:pPr>
          </w:p>
        </w:tc>
        <w:tc>
          <w:tcPr>
            <w:tcW w:w="2330" w:type="pct"/>
            <w:vMerge w:val="continue"/>
            <w:vAlign w:val="center"/>
          </w:tcPr>
          <w:p>
            <w:pPr>
              <w:widowControl/>
              <w:spacing w:line="260" w:lineRule="exact"/>
              <w:ind w:left="-63" w:leftChars="-30" w:right="-63" w:rightChars="-30"/>
              <w:jc w:val="left"/>
              <w:rPr>
                <w:rFonts w:eastAsia="方正黑体_GBK"/>
                <w:color w:val="000000"/>
                <w:spacing w:val="-6"/>
                <w:kern w:val="0"/>
                <w:sz w:val="18"/>
                <w:szCs w:val="18"/>
              </w:rPr>
            </w:pPr>
          </w:p>
        </w:tc>
        <w:tc>
          <w:tcPr>
            <w:tcW w:w="202" w:type="pct"/>
            <w:vAlign w:val="center"/>
          </w:tcPr>
          <w:p>
            <w:pPr>
              <w:widowControl/>
              <w:spacing w:line="26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加分</w:t>
            </w:r>
            <w:r>
              <w:rPr>
                <w:rFonts w:eastAsia="方正黑体_GBK"/>
                <w:color w:val="000000"/>
                <w:spacing w:val="-6"/>
                <w:kern w:val="0"/>
                <w:sz w:val="18"/>
                <w:szCs w:val="18"/>
              </w:rPr>
              <w:t xml:space="preserve">  </w:t>
            </w:r>
            <w:r>
              <w:rPr>
                <w:rFonts w:hint="eastAsia" w:eastAsia="方正黑体_GBK"/>
                <w:color w:val="000000"/>
                <w:spacing w:val="-6"/>
                <w:kern w:val="0"/>
                <w:sz w:val="18"/>
                <w:szCs w:val="18"/>
              </w:rPr>
              <w:t>选项</w:t>
            </w:r>
          </w:p>
        </w:tc>
        <w:tc>
          <w:tcPr>
            <w:tcW w:w="202" w:type="pct"/>
            <w:vAlign w:val="center"/>
          </w:tcPr>
          <w:p>
            <w:pPr>
              <w:widowControl/>
              <w:spacing w:line="260" w:lineRule="exact"/>
              <w:ind w:left="-63" w:leftChars="-30" w:right="-63" w:rightChars="-30"/>
              <w:jc w:val="center"/>
              <w:rPr>
                <w:rFonts w:hint="default" w:eastAsia="方正黑体_GBK"/>
                <w:color w:val="000000"/>
                <w:spacing w:val="-6"/>
                <w:kern w:val="0"/>
                <w:sz w:val="18"/>
                <w:szCs w:val="18"/>
                <w:lang w:val="en-US" w:eastAsia="zh-CN"/>
              </w:rPr>
            </w:pPr>
            <w:r>
              <w:rPr>
                <w:rFonts w:hint="eastAsia" w:eastAsia="方正黑体_GBK"/>
                <w:color w:val="000000"/>
                <w:spacing w:val="-6"/>
                <w:kern w:val="0"/>
                <w:sz w:val="18"/>
                <w:szCs w:val="18"/>
                <w:lang w:val="en-US" w:eastAsia="zh-CN"/>
              </w:rPr>
              <w:t>加分 分值</w:t>
            </w:r>
          </w:p>
        </w:tc>
        <w:tc>
          <w:tcPr>
            <w:tcW w:w="202" w:type="pct"/>
            <w:vAlign w:val="center"/>
          </w:tcPr>
          <w:p>
            <w:pPr>
              <w:widowControl/>
              <w:spacing w:line="26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加分</w:t>
            </w:r>
          </w:p>
          <w:p>
            <w:pPr>
              <w:widowControl/>
              <w:spacing w:line="26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限额</w:t>
            </w:r>
          </w:p>
        </w:tc>
        <w:tc>
          <w:tcPr>
            <w:tcW w:w="203" w:type="pct"/>
            <w:vAlign w:val="center"/>
          </w:tcPr>
          <w:p>
            <w:pPr>
              <w:widowControl/>
              <w:spacing w:line="26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评价</w:t>
            </w:r>
          </w:p>
          <w:p>
            <w:pPr>
              <w:widowControl/>
              <w:spacing w:line="260" w:lineRule="exact"/>
              <w:ind w:left="-63" w:leftChars="-30" w:right="-63" w:rightChars="-30"/>
              <w:jc w:val="center"/>
              <w:rPr>
                <w:rFonts w:eastAsia="方正黑体_GBK"/>
                <w:color w:val="000000"/>
                <w:spacing w:val="-6"/>
                <w:kern w:val="0"/>
                <w:sz w:val="18"/>
                <w:szCs w:val="18"/>
              </w:rPr>
            </w:pPr>
            <w:r>
              <w:rPr>
                <w:rFonts w:hint="eastAsia" w:eastAsia="方正黑体_GBK"/>
                <w:color w:val="000000"/>
                <w:spacing w:val="-6"/>
                <w:kern w:val="0"/>
                <w:sz w:val="18"/>
                <w:szCs w:val="18"/>
              </w:rPr>
              <w:t>得分</w:t>
            </w:r>
          </w:p>
        </w:tc>
        <w:tc>
          <w:tcPr>
            <w:tcW w:w="1054" w:type="pct"/>
            <w:vMerge w:val="continue"/>
            <w:vAlign w:val="center"/>
          </w:tcPr>
          <w:p>
            <w:pPr>
              <w:widowControl/>
              <w:spacing w:line="260" w:lineRule="exact"/>
              <w:ind w:left="-63" w:leftChars="-30" w:right="-63" w:rightChars="-30"/>
              <w:rPr>
                <w:rFonts w:eastAsia="方正黑体_GBK"/>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1</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企业房屋建筑工程专业咨询能力</w:t>
            </w:r>
          </w:p>
        </w:tc>
        <w:tc>
          <w:tcPr>
            <w:tcW w:w="2330" w:type="pct"/>
            <w:vAlign w:val="center"/>
          </w:tcPr>
          <w:p>
            <w:pPr>
              <w:widowControl/>
              <w:spacing w:line="28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房屋建筑工程咨询业务收入</w:t>
            </w:r>
            <w:r>
              <w:rPr>
                <w:rFonts w:hint="eastAsia"/>
                <w:color w:val="000000"/>
                <w:spacing w:val="-6"/>
                <w:kern w:val="0"/>
                <w:sz w:val="18"/>
                <w:szCs w:val="18"/>
              </w:rPr>
              <w:t>”</w:t>
            </w:r>
            <w:r>
              <w:rPr>
                <w:rFonts w:hint="eastAsia" w:hAnsi="宋体"/>
                <w:color w:val="000000"/>
                <w:spacing w:val="-6"/>
                <w:kern w:val="0"/>
                <w:sz w:val="18"/>
                <w:szCs w:val="18"/>
                <w:u w:val="single"/>
              </w:rPr>
              <w:t>（信用评价系统自行录入，不需人工填写）</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8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rFonts w:hint="eastAsia" w:hAnsi="宋体"/>
                <w:color w:val="000000"/>
                <w:spacing w:val="-6"/>
                <w:kern w:val="0"/>
                <w:sz w:val="18"/>
                <w:szCs w:val="18"/>
                <w:u w:val="single"/>
              </w:rPr>
              <w:t>（信用评价系统自行录入，不需人工填写）</w:t>
            </w:r>
            <w:r>
              <w:rPr>
                <w:rFonts w:hAnsi="宋体"/>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房屋建筑工程咨询业务收入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8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房屋建筑工程咨询业务收入</w:t>
            </w:r>
            <w:r>
              <w:rPr>
                <w:rFonts w:hint="eastAsia"/>
                <w:color w:val="000000"/>
                <w:spacing w:val="-6"/>
                <w:kern w:val="0"/>
                <w:sz w:val="18"/>
                <w:szCs w:val="18"/>
              </w:rPr>
              <w:t>”</w:t>
            </w:r>
            <w:r>
              <w:rPr>
                <w:rFonts w:hint="eastAsia" w:hAnsi="宋体"/>
                <w:color w:val="000000"/>
                <w:spacing w:val="-6"/>
                <w:kern w:val="0"/>
                <w:sz w:val="18"/>
                <w:szCs w:val="18"/>
                <w:u w:val="single"/>
              </w:rPr>
              <w:t>（信用评价系统自行录入，不需人工填写）</w:t>
            </w:r>
            <w:r>
              <w:rPr>
                <w:rFonts w:hAnsi="宋体"/>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8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rFonts w:hint="eastAsia" w:hAnsi="宋体"/>
                <w:color w:val="000000"/>
                <w:spacing w:val="-6"/>
                <w:kern w:val="0"/>
                <w:sz w:val="18"/>
                <w:szCs w:val="18"/>
                <w:u w:val="single"/>
              </w:rPr>
              <w:t>（信用评价系统自行录入，不需人工填写）</w:t>
            </w:r>
            <w:r>
              <w:rPr>
                <w:rFonts w:hAnsi="宋体"/>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房屋建筑工程咨询业务平均收入</w:t>
            </w:r>
            <w:r>
              <w:rPr>
                <w:rFonts w:hint="eastAsia"/>
                <w:color w:val="000000"/>
                <w:spacing w:val="-6"/>
                <w:kern w:val="0"/>
                <w:sz w:val="18"/>
                <w:szCs w:val="18"/>
              </w:rPr>
              <w:t>”</w:t>
            </w:r>
            <w:r>
              <w:rPr>
                <w:rFonts w:hint="eastAsia" w:hAnsi="宋体"/>
                <w:color w:val="000000"/>
                <w:spacing w:val="-6"/>
                <w:kern w:val="0"/>
                <w:sz w:val="18"/>
                <w:szCs w:val="18"/>
                <w:u w:val="single"/>
              </w:rPr>
              <w:t>（信用评价系统自行录入，不需人工填写）</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rFonts w:hint="eastAsia" w:hAnsi="宋体"/>
                <w:color w:val="000000"/>
                <w:spacing w:val="-6"/>
                <w:kern w:val="0"/>
                <w:sz w:val="18"/>
                <w:szCs w:val="18"/>
                <w:u w:val="single"/>
              </w:rPr>
              <w:t>（信用评价系统自行录入，不需人工填写）</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房屋建筑工程咨询业务收入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2</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市政工程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市政工程咨询业务收入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市政工程咨询业务收入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市政工程咨询业务收入</w:t>
            </w:r>
            <w:r>
              <w:rPr>
                <w:color w:val="000000"/>
                <w:spacing w:val="-6"/>
                <w:kern w:val="0"/>
                <w:sz w:val="18"/>
                <w:szCs w:val="18"/>
              </w:rPr>
              <w:t xml:space="preserve"> </w:t>
            </w:r>
            <w:r>
              <w:rPr>
                <w:rFonts w:hint="eastAsia"/>
                <w:color w:val="000000"/>
                <w:spacing w:val="-6"/>
                <w:kern w:val="0"/>
                <w:sz w:val="18"/>
                <w:szCs w:val="18"/>
              </w:rPr>
              <w:t>”</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1" w:type="pct"/>
            <w:vMerge w:val="restart"/>
            <w:vAlign w:val="center"/>
          </w:tcPr>
          <w:p>
            <w:pPr>
              <w:widowControl/>
              <w:spacing w:line="260" w:lineRule="exact"/>
              <w:ind w:left="-63" w:leftChars="-30" w:right="-63" w:rightChars="-30"/>
              <w:jc w:val="left"/>
              <w:rPr>
                <w:color w:val="000000"/>
                <w:spacing w:val="-6"/>
                <w:kern w:val="0"/>
                <w:sz w:val="18"/>
                <w:szCs w:val="18"/>
              </w:rPr>
            </w:pPr>
          </w:p>
        </w:tc>
        <w:tc>
          <w:tcPr>
            <w:tcW w:w="522" w:type="pct"/>
            <w:vMerge w:val="restart"/>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市政工程咨询业务三年平均收入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市政工程咨询业务收入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3</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公路工程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公路工程咨询业务收入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Align w:val="center"/>
          </w:tcPr>
          <w:p>
            <w:pPr>
              <w:widowControl/>
              <w:spacing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公路工程咨询业务收入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1"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公路工程咨询业务收入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公路工程专业咨询业务收入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公路工程咨询业务收入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4</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铁路工程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铁路工程咨询业务收入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铁路工程咨询业务收入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铁路工程咨询业务收入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铁路工程专业咨询业务收入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铁路工程咨询业务收入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5</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城市轨道交通工程专业咨询能力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城市轨道交通工程咨询业务收入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城市轨道交通工程咨询业务收入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w:t>
            </w:r>
            <w:r>
              <w:rPr>
                <w:rFonts w:hint="eastAsia"/>
                <w:color w:val="000000"/>
                <w:spacing w:val="-6"/>
                <w:kern w:val="0"/>
                <w:sz w:val="18"/>
                <w:szCs w:val="18"/>
              </w:rPr>
              <w:t>“</w:t>
            </w:r>
            <w:r>
              <w:rPr>
                <w:rFonts w:hint="eastAsia" w:hAnsi="宋体"/>
                <w:color w:val="000000"/>
                <w:spacing w:val="-6"/>
                <w:kern w:val="0"/>
                <w:sz w:val="18"/>
                <w:szCs w:val="18"/>
              </w:rPr>
              <w:t>代码</w:t>
            </w:r>
            <w:r>
              <w:rPr>
                <w:color w:val="000000"/>
                <w:spacing w:val="-6"/>
                <w:kern w:val="0"/>
                <w:sz w:val="18"/>
                <w:szCs w:val="18"/>
              </w:rPr>
              <w:t>33</w:t>
            </w:r>
            <w:r>
              <w:rPr>
                <w:rFonts w:hint="eastAsia"/>
                <w:color w:val="000000"/>
                <w:spacing w:val="-6"/>
                <w:kern w:val="0"/>
                <w:sz w:val="18"/>
                <w:szCs w:val="18"/>
              </w:rPr>
              <w:t>”</w:t>
            </w:r>
            <w:r>
              <w:rPr>
                <w:rFonts w:hint="eastAsia" w:hAnsi="宋体"/>
                <w:color w:val="000000"/>
                <w:spacing w:val="-6"/>
                <w:kern w:val="0"/>
                <w:sz w:val="18"/>
                <w:szCs w:val="18"/>
              </w:rPr>
              <w:t>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城市轨道交通工程咨询业务收入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1" w:type="pct"/>
            <w:vMerge w:val="restart"/>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5</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城市轨道交通工程专业咨询能力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城市轨道交通工程专业咨询业务收入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3</w:t>
            </w:r>
          </w:p>
        </w:tc>
        <w:tc>
          <w:tcPr>
            <w:tcW w:w="203" w:type="pct"/>
            <w:vMerge w:val="restart"/>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城市轨道交通工程咨询业务收入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6</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航空工程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航空工程咨询业务收入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航空工程咨询业务收入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航空工程咨询业务收入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航空工程专业咨询业务收入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航空工程工程咨询业务收入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7</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航天工程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航空工程咨询业务收入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航天工程咨询业务收入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航空工程咨询业务收入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航空工程专业咨询业务收入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航空工程咨询业务收入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8</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火电工程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火电工程咨询业务收入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火电工程咨询业务收入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火电工程咨询业务收入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航空工程专业咨询业务收入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火电工程咨询业务收入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9</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水电工程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水电工程咨询业务收入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水电工程咨询业务收入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水电工程咨询业务收入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航空工程专业咨询业务收入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水电工程咨询业务收入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10</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核工业工程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核工业工程咨询业务收入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核工业工程咨询业务收入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核工业工程咨询业务收入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核工业工程专业咨询业务收入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核工业工程咨询业务收入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11</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新能源工程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新能源工程咨询业务收入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新能源工程咨询业务收入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新能源工程咨询业务收入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新能源工程专业咨询业务收入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核工业工程咨询业务收入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12</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水利工程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水利工程咨询业务收入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水利工程咨询业务收入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水利工程咨询业务收入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新能源工程专业咨询业务收入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水利工程咨询业务收入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13</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水运工程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水运工程咨询业务收入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水运工程咨询业务收入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w:t>
            </w:r>
            <w:r>
              <w:rPr>
                <w:rFonts w:hint="eastAsia"/>
                <w:color w:val="000000"/>
                <w:spacing w:val="-6"/>
                <w:kern w:val="0"/>
                <w:sz w:val="18"/>
                <w:szCs w:val="18"/>
              </w:rPr>
              <w:t>“</w:t>
            </w:r>
            <w:r>
              <w:rPr>
                <w:rFonts w:hint="eastAsia" w:hAnsi="宋体"/>
                <w:color w:val="000000"/>
                <w:spacing w:val="-6"/>
                <w:kern w:val="0"/>
                <w:sz w:val="18"/>
                <w:szCs w:val="18"/>
              </w:rPr>
              <w:t>代码</w:t>
            </w:r>
            <w:r>
              <w:rPr>
                <w:color w:val="000000"/>
                <w:spacing w:val="-6"/>
                <w:kern w:val="0"/>
                <w:sz w:val="18"/>
                <w:szCs w:val="18"/>
              </w:rPr>
              <w:t>41</w:t>
            </w:r>
            <w:r>
              <w:rPr>
                <w:rFonts w:hint="eastAsia"/>
                <w:color w:val="000000"/>
                <w:spacing w:val="-6"/>
                <w:kern w:val="0"/>
                <w:sz w:val="18"/>
                <w:szCs w:val="18"/>
              </w:rPr>
              <w:t>”</w:t>
            </w:r>
            <w:r>
              <w:rPr>
                <w:rFonts w:hint="eastAsia" w:hAnsi="宋体"/>
                <w:color w:val="000000"/>
                <w:spacing w:val="-6"/>
                <w:kern w:val="0"/>
                <w:sz w:val="18"/>
                <w:szCs w:val="18"/>
              </w:rPr>
              <w:t>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水运工程咨询业务收入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水运工程专业咨询业务收入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水运工程咨询业务收入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14</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矿山工程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矿山工程咨询业务收入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矿山工程咨询业务收入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矿山工程咨询业务收入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矿山工程专业咨询业务收入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水运工程咨询业务收入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15</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冶金工程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冶金工程咨询业务收入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冶金工程咨询业务收入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冶金工程咨询业务收入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冶金工程专业咨询业务收入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冶金工程咨询业务收入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16</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石油天然气工程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石油天然气工程咨询业务收入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石油天然气工程咨询业务收入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石油天然气工程咨询业务收入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石油天然气工程专业咨询业务收入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冶金工程咨询业务收入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17</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石化工程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石化工程咨询业务收入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石化工程咨询业务收入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石化工程咨询业务收入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石化工程专业咨询业务收入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石化工程咨询业务收入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18</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化工、医药工程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化工、医药工程咨询业务收入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化工、医药工程咨询业务收入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化工、医药工程咨询业务收入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化工、医药工程专业咨询业务收入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化工、医药工程咨询业务收入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30%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，不足</w:t>
            </w:r>
            <w:r>
              <w:rPr>
                <w:color w:val="000000"/>
                <w:spacing w:val="-6"/>
                <w:kern w:val="0"/>
                <w:sz w:val="18"/>
                <w:szCs w:val="18"/>
              </w:rPr>
              <w:t>80%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80%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19</w:t>
            </w:r>
          </w:p>
        </w:tc>
        <w:tc>
          <w:tcPr>
            <w:tcW w:w="522" w:type="pct"/>
            <w:vMerge w:val="restart"/>
            <w:vAlign w:val="center"/>
          </w:tcPr>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农业工程</w:t>
            </w:r>
          </w:p>
          <w:p>
            <w:pPr>
              <w:widowControl/>
              <w:spacing w:line="26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农业工程咨询业务收入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6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6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农业工程咨询业务收入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农业工程咨询业务收入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化工、医药工程专业咨询业务收入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6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60" w:lineRule="exact"/>
              <w:ind w:left="-63" w:leftChars="-30" w:right="-63" w:rightChars="-30"/>
              <w:jc w:val="left"/>
              <w:rPr>
                <w:color w:val="000000"/>
                <w:spacing w:val="-6"/>
                <w:kern w:val="0"/>
                <w:sz w:val="18"/>
                <w:szCs w:val="18"/>
              </w:rPr>
            </w:pPr>
          </w:p>
        </w:tc>
        <w:tc>
          <w:tcPr>
            <w:tcW w:w="2330" w:type="pct"/>
            <w:vAlign w:val="center"/>
          </w:tcPr>
          <w:p>
            <w:pPr>
              <w:widowControl/>
              <w:spacing w:line="26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农业工程咨询业务收入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60" w:lineRule="exact"/>
              <w:ind w:left="-63" w:leftChars="-30" w:right="-63" w:rightChars="-30"/>
              <w:jc w:val="center"/>
              <w:rPr>
                <w:color w:val="000000"/>
                <w:spacing w:val="-6"/>
                <w:kern w:val="0"/>
                <w:sz w:val="18"/>
                <w:szCs w:val="18"/>
              </w:rPr>
            </w:pPr>
          </w:p>
        </w:tc>
        <w:tc>
          <w:tcPr>
            <w:tcW w:w="202" w:type="pct"/>
            <w:vAlign w:val="center"/>
          </w:tcPr>
          <w:p>
            <w:pPr>
              <w:widowControl/>
              <w:spacing w:line="26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6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20" w:lineRule="exact"/>
              <w:ind w:left="-63" w:leftChars="-30" w:right="-63" w:rightChars="-30"/>
              <w:jc w:val="center"/>
              <w:rPr>
                <w:color w:val="000000"/>
                <w:spacing w:val="-6"/>
                <w:kern w:val="0"/>
                <w:sz w:val="18"/>
                <w:szCs w:val="18"/>
              </w:rPr>
            </w:pPr>
            <w:r>
              <w:rPr>
                <w:color w:val="000000"/>
                <w:spacing w:val="-6"/>
                <w:kern w:val="0"/>
                <w:sz w:val="18"/>
                <w:szCs w:val="18"/>
              </w:rPr>
              <w:t>20</w:t>
            </w:r>
          </w:p>
        </w:tc>
        <w:tc>
          <w:tcPr>
            <w:tcW w:w="522" w:type="pct"/>
            <w:vMerge w:val="restart"/>
            <w:vAlign w:val="center"/>
          </w:tcPr>
          <w:p>
            <w:pPr>
              <w:widowControl/>
              <w:spacing w:line="22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林业工程</w:t>
            </w:r>
          </w:p>
          <w:p>
            <w:pPr>
              <w:widowControl/>
              <w:spacing w:line="22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林业工程咨询业务收入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2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2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2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2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林业工程咨询业务收入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林业工程咨询业务收入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林业工程专业咨询业务收入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林业工程咨询业务收入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20" w:lineRule="exact"/>
              <w:ind w:left="-63" w:leftChars="-30" w:right="-63" w:rightChars="-30"/>
              <w:jc w:val="center"/>
              <w:rPr>
                <w:color w:val="000000"/>
                <w:spacing w:val="-6"/>
                <w:kern w:val="0"/>
                <w:sz w:val="18"/>
                <w:szCs w:val="18"/>
              </w:rPr>
            </w:pPr>
          </w:p>
        </w:tc>
        <w:tc>
          <w:tcPr>
            <w:tcW w:w="202" w:type="pct"/>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20" w:lineRule="exact"/>
              <w:ind w:left="-63" w:leftChars="-30" w:right="-63" w:rightChars="-30"/>
              <w:jc w:val="center"/>
              <w:rPr>
                <w:color w:val="000000"/>
                <w:spacing w:val="-6"/>
                <w:kern w:val="0"/>
                <w:sz w:val="18"/>
                <w:szCs w:val="18"/>
              </w:rPr>
            </w:pPr>
            <w:r>
              <w:rPr>
                <w:color w:val="000000"/>
                <w:spacing w:val="-6"/>
                <w:kern w:val="0"/>
                <w:sz w:val="18"/>
                <w:szCs w:val="18"/>
              </w:rPr>
              <w:t>21</w:t>
            </w:r>
          </w:p>
        </w:tc>
        <w:tc>
          <w:tcPr>
            <w:tcW w:w="522" w:type="pct"/>
            <w:vMerge w:val="restart"/>
            <w:vAlign w:val="center"/>
          </w:tcPr>
          <w:p>
            <w:pPr>
              <w:widowControl/>
              <w:spacing w:line="22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电子、通讯工程</w:t>
            </w:r>
          </w:p>
          <w:p>
            <w:pPr>
              <w:widowControl/>
              <w:spacing w:line="22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电子、通讯工程咨询业务收入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2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2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2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2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电子、通讯工程咨询业务收入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电子、通讯工程咨询业务收入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电子、通讯工程专业咨询业务收入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电子、通讯工程咨询业务收入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20" w:lineRule="exact"/>
              <w:ind w:left="-63" w:leftChars="-30" w:right="-63" w:rightChars="-30"/>
              <w:jc w:val="center"/>
              <w:rPr>
                <w:color w:val="000000"/>
                <w:spacing w:val="-6"/>
                <w:kern w:val="0"/>
                <w:sz w:val="18"/>
                <w:szCs w:val="18"/>
              </w:rPr>
            </w:pPr>
          </w:p>
        </w:tc>
        <w:tc>
          <w:tcPr>
            <w:tcW w:w="202" w:type="pct"/>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restart"/>
            <w:noWrap/>
            <w:vAlign w:val="center"/>
          </w:tcPr>
          <w:p>
            <w:pPr>
              <w:widowControl/>
              <w:spacing w:line="220" w:lineRule="exact"/>
              <w:ind w:left="-63" w:leftChars="-30" w:right="-63" w:rightChars="-30"/>
              <w:jc w:val="center"/>
              <w:rPr>
                <w:color w:val="000000"/>
                <w:spacing w:val="-6"/>
                <w:kern w:val="0"/>
                <w:sz w:val="18"/>
                <w:szCs w:val="18"/>
              </w:rPr>
            </w:pPr>
            <w:r>
              <w:rPr>
                <w:color w:val="000000"/>
                <w:spacing w:val="-6"/>
                <w:kern w:val="0"/>
                <w:sz w:val="18"/>
                <w:szCs w:val="18"/>
              </w:rPr>
              <w:t>22</w:t>
            </w:r>
          </w:p>
        </w:tc>
        <w:tc>
          <w:tcPr>
            <w:tcW w:w="522" w:type="pct"/>
            <w:vMerge w:val="restart"/>
            <w:vAlign w:val="center"/>
          </w:tcPr>
          <w:p>
            <w:pPr>
              <w:widowControl/>
              <w:spacing w:line="22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广播影视电视工程专业咨询能力</w:t>
            </w:r>
          </w:p>
        </w:tc>
        <w:tc>
          <w:tcPr>
            <w:tcW w:w="2330" w:type="pct"/>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广播影视电视工程咨询业务收入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2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2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2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2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广播影视电视工程咨询业务收入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广播影视电视工程咨询业务收入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广播影视电视工程专业咨询业务收入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20" w:lineRule="exact"/>
              <w:ind w:left="-63" w:leftChars="-30" w:right="-63" w:rightChars="-30"/>
              <w:jc w:val="left"/>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jc w:val="left"/>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广播影视电视工程咨询业务收入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20" w:lineRule="exact"/>
              <w:ind w:left="-63" w:leftChars="-30" w:right="-63" w:rightChars="-30"/>
              <w:jc w:val="center"/>
              <w:rPr>
                <w:color w:val="000000"/>
                <w:spacing w:val="-6"/>
                <w:kern w:val="0"/>
                <w:sz w:val="18"/>
                <w:szCs w:val="18"/>
              </w:rPr>
            </w:pPr>
          </w:p>
        </w:tc>
        <w:tc>
          <w:tcPr>
            <w:tcW w:w="202" w:type="pct"/>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restart"/>
            <w:noWrap/>
            <w:vAlign w:val="center"/>
          </w:tcPr>
          <w:p>
            <w:pPr>
              <w:widowControl/>
              <w:spacing w:line="220" w:lineRule="exact"/>
              <w:ind w:left="-63" w:leftChars="-30" w:right="-63" w:rightChars="-30"/>
              <w:jc w:val="center"/>
              <w:rPr>
                <w:color w:val="000000"/>
                <w:spacing w:val="-6"/>
                <w:kern w:val="0"/>
                <w:sz w:val="18"/>
                <w:szCs w:val="18"/>
              </w:rPr>
            </w:pPr>
            <w:r>
              <w:rPr>
                <w:color w:val="000000"/>
                <w:spacing w:val="-6"/>
                <w:kern w:val="0"/>
                <w:sz w:val="18"/>
                <w:szCs w:val="18"/>
              </w:rPr>
              <w:t>23</w:t>
            </w:r>
          </w:p>
        </w:tc>
        <w:tc>
          <w:tcPr>
            <w:tcW w:w="522" w:type="pct"/>
            <w:vMerge w:val="restart"/>
            <w:vAlign w:val="center"/>
          </w:tcPr>
          <w:p>
            <w:pPr>
              <w:widowControl/>
              <w:spacing w:line="22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其它工程</w:t>
            </w:r>
          </w:p>
          <w:p>
            <w:pPr>
              <w:widowControl/>
              <w:spacing w:line="220" w:lineRule="exact"/>
              <w:ind w:left="-63" w:leftChars="-30" w:right="-63" w:rightChars="-30"/>
              <w:jc w:val="center"/>
              <w:rPr>
                <w:color w:val="000000"/>
                <w:spacing w:val="-6"/>
                <w:kern w:val="0"/>
                <w:sz w:val="18"/>
                <w:szCs w:val="18"/>
              </w:rPr>
            </w:pPr>
            <w:r>
              <w:rPr>
                <w:rFonts w:hint="eastAsia" w:hAnsi="宋体"/>
                <w:color w:val="000000"/>
                <w:spacing w:val="-6"/>
                <w:kern w:val="0"/>
                <w:sz w:val="18"/>
                <w:szCs w:val="18"/>
              </w:rPr>
              <w:t>专业咨询能力</w:t>
            </w:r>
          </w:p>
        </w:tc>
        <w:tc>
          <w:tcPr>
            <w:tcW w:w="2330" w:type="pct"/>
            <w:vAlign w:val="center"/>
          </w:tcPr>
          <w:p>
            <w:pPr>
              <w:widowControl/>
              <w:spacing w:line="220" w:lineRule="exact"/>
              <w:ind w:left="-63" w:leftChars="-30" w:right="-63" w:rightChars="-30"/>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其它工程咨询业务收入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20" w:lineRule="exact"/>
              <w:ind w:left="-63" w:leftChars="-30" w:right="-63" w:rightChars="-30"/>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restart"/>
            <w:noWrap/>
            <w:vAlign w:val="center"/>
          </w:tcPr>
          <w:p>
            <w:pPr>
              <w:widowControl/>
              <w:spacing w:line="220" w:lineRule="exact"/>
              <w:ind w:left="-63" w:leftChars="-30" w:right="-63" w:rightChars="-30"/>
              <w:jc w:val="center"/>
              <w:rPr>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20" w:lineRule="exact"/>
              <w:ind w:left="-63" w:leftChars="-30" w:right="-63" w:rightChars="-30"/>
              <w:jc w:val="center"/>
              <w:rPr>
                <w:rFonts w:hAnsi="宋体"/>
                <w:color w:val="000000"/>
                <w:spacing w:val="-6"/>
                <w:kern w:val="0"/>
                <w:sz w:val="18"/>
                <w:szCs w:val="18"/>
              </w:rPr>
            </w:pPr>
            <w:r>
              <w:rPr>
                <w:color w:val="000000"/>
                <w:spacing w:val="-6"/>
                <w:kern w:val="0"/>
                <w:sz w:val="18"/>
                <w:szCs w:val="18"/>
              </w:rPr>
              <w:t>—</w:t>
            </w:r>
          </w:p>
        </w:tc>
        <w:tc>
          <w:tcPr>
            <w:tcW w:w="202" w:type="pct"/>
            <w:vMerge w:val="restart"/>
            <w:noWrap/>
            <w:vAlign w:val="center"/>
          </w:tcPr>
          <w:p>
            <w:pPr>
              <w:widowControl/>
              <w:spacing w:line="22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Merge w:val="restart"/>
            <w:noWrap/>
            <w:vAlign w:val="center"/>
          </w:tcPr>
          <w:p>
            <w:pPr>
              <w:widowControl/>
              <w:spacing w:line="220" w:lineRule="exact"/>
              <w:ind w:left="-63" w:leftChars="-30" w:right="-63" w:rightChars="-30"/>
              <w:jc w:val="center"/>
              <w:rPr>
                <w:color w:val="000000"/>
                <w:spacing w:val="-6"/>
                <w:kern w:val="0"/>
                <w:sz w:val="18"/>
                <w:szCs w:val="18"/>
              </w:rPr>
            </w:pPr>
          </w:p>
        </w:tc>
        <w:tc>
          <w:tcPr>
            <w:tcW w:w="1054" w:type="pct"/>
            <w:vMerge w:val="restart"/>
            <w:vAlign w:val="center"/>
          </w:tcPr>
          <w:p>
            <w:pPr>
              <w:widowControl/>
              <w:spacing w:after="240" w:line="260" w:lineRule="exact"/>
              <w:ind w:left="-63" w:leftChars="-30" w:right="-63" w:rightChars="-30"/>
              <w:rPr>
                <w:color w:val="000000"/>
                <w:spacing w:val="-6"/>
                <w:kern w:val="0"/>
                <w:sz w:val="18"/>
                <w:szCs w:val="18"/>
              </w:rPr>
            </w:pPr>
            <w:r>
              <w:rPr>
                <w:color w:val="000000"/>
                <w:spacing w:val="-6"/>
                <w:kern w:val="0"/>
                <w:sz w:val="18"/>
                <w:szCs w:val="18"/>
              </w:rPr>
              <w:t>1</w:t>
            </w:r>
            <w:r>
              <w:rPr>
                <w:rFonts w:hint="eastAsia" w:hAnsi="宋体"/>
                <w:color w:val="000000"/>
                <w:spacing w:val="-6"/>
                <w:kern w:val="0"/>
                <w:sz w:val="18"/>
                <w:szCs w:val="18"/>
              </w:rPr>
              <w:t>、</w:t>
            </w:r>
            <w:r>
              <w:rPr>
                <w:rFonts w:hint="eastAsia"/>
                <w:color w:val="000000"/>
                <w:spacing w:val="-6"/>
                <w:kern w:val="0"/>
                <w:sz w:val="18"/>
                <w:szCs w:val="18"/>
              </w:rPr>
              <w:t>“</w:t>
            </w:r>
            <w:r>
              <w:rPr>
                <w:rFonts w:hint="eastAsia" w:hAnsi="宋体"/>
                <w:color w:val="000000"/>
                <w:spacing w:val="-6"/>
                <w:kern w:val="0"/>
                <w:sz w:val="18"/>
                <w:szCs w:val="18"/>
              </w:rPr>
              <w:t>其它工程咨询业务收入</w:t>
            </w:r>
            <w:r>
              <w:rPr>
                <w:rFonts w:hint="eastAsia"/>
                <w:color w:val="000000"/>
                <w:spacing w:val="-6"/>
                <w:kern w:val="0"/>
                <w:sz w:val="18"/>
                <w:szCs w:val="18"/>
              </w:rPr>
              <w:t>”</w:t>
            </w:r>
            <w:r>
              <w:rPr>
                <w:rFonts w:hint="eastAsia" w:hAnsi="宋体"/>
                <w:color w:val="000000"/>
                <w:spacing w:val="-6"/>
                <w:kern w:val="0"/>
                <w:sz w:val="18"/>
                <w:szCs w:val="18"/>
              </w:rPr>
              <w:t>由信用评价系统从造价咨询企业年度</w:t>
            </w:r>
            <w:r>
              <w:rPr>
                <w:rFonts w:hint="eastAsia"/>
                <w:color w:val="000000"/>
                <w:spacing w:val="-6"/>
                <w:kern w:val="0"/>
                <w:sz w:val="18"/>
                <w:szCs w:val="18"/>
              </w:rPr>
              <w:t>“</w:t>
            </w:r>
            <w:r>
              <w:rPr>
                <w:rFonts w:hint="eastAsia" w:hAnsi="宋体"/>
                <w:color w:val="000000"/>
                <w:spacing w:val="-6"/>
                <w:kern w:val="0"/>
                <w:sz w:val="18"/>
                <w:szCs w:val="18"/>
              </w:rPr>
              <w:t>工程造价咨询统计报表</w:t>
            </w:r>
            <w:r>
              <w:rPr>
                <w:color w:val="000000"/>
                <w:spacing w:val="-6"/>
                <w:kern w:val="0"/>
                <w:sz w:val="18"/>
                <w:szCs w:val="18"/>
              </w:rPr>
              <w:t>3</w:t>
            </w:r>
            <w:r>
              <w:rPr>
                <w:rFonts w:hint="eastAsia"/>
                <w:color w:val="000000"/>
                <w:spacing w:val="-6"/>
                <w:kern w:val="0"/>
                <w:sz w:val="18"/>
                <w:szCs w:val="18"/>
              </w:rPr>
              <w:t>”</w:t>
            </w:r>
            <w:r>
              <w:rPr>
                <w:rFonts w:hint="eastAsia" w:hAnsi="宋体"/>
                <w:color w:val="000000"/>
                <w:spacing w:val="-6"/>
                <w:kern w:val="0"/>
                <w:sz w:val="18"/>
                <w:szCs w:val="18"/>
              </w:rPr>
              <w:t>中提取数据，不需企业填写。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其它工程咨询业务收入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color w:val="000000"/>
                <w:spacing w:val="-6"/>
                <w:kern w:val="0"/>
                <w:sz w:val="18"/>
                <w:szCs w:val="18"/>
              </w:rPr>
              <w:t xml:space="preserve"> </w:t>
            </w:r>
            <w:r>
              <w:rPr>
                <w:rFonts w:hint="eastAsia" w:hAnsi="宋体"/>
                <w:color w:val="000000"/>
                <w:spacing w:val="-6"/>
                <w:kern w:val="0"/>
                <w:sz w:val="18"/>
                <w:szCs w:val="18"/>
              </w:rPr>
              <w:t>万元；</w:t>
            </w:r>
          </w:p>
          <w:p>
            <w:pPr>
              <w:widowControl/>
              <w:spacing w:line="220" w:lineRule="exact"/>
              <w:ind w:left="-63" w:leftChars="-30" w:right="-63" w:rightChars="-30"/>
              <w:rPr>
                <w:color w:val="000000"/>
                <w:spacing w:val="-6"/>
                <w:kern w:val="0"/>
                <w:sz w:val="18"/>
                <w:szCs w:val="18"/>
              </w:rPr>
            </w:pPr>
            <w:r>
              <w:rPr>
                <w:color w:val="000000"/>
                <w:spacing w:val="-6"/>
                <w:kern w:val="0"/>
                <w:sz w:val="18"/>
                <w:szCs w:val="18"/>
              </w:rPr>
              <w:t>2019</w:t>
            </w:r>
            <w:r>
              <w:rPr>
                <w:rFonts w:hint="eastAsia" w:hAnsi="宋体"/>
                <w:color w:val="000000"/>
                <w:spacing w:val="-6"/>
                <w:kern w:val="0"/>
                <w:sz w:val="18"/>
                <w:szCs w:val="18"/>
              </w:rPr>
              <w:t>年</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其它工程专业咨询业务收入</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p>
            <w:pPr>
              <w:widowControl/>
              <w:spacing w:line="220" w:lineRule="exact"/>
              <w:ind w:left="-63" w:leftChars="-30" w:right="-63" w:rightChars="-30"/>
              <w:rPr>
                <w:color w:val="000000"/>
                <w:spacing w:val="-6"/>
                <w:kern w:val="0"/>
                <w:sz w:val="18"/>
                <w:szCs w:val="18"/>
              </w:rPr>
            </w:pPr>
            <w:r>
              <w:rPr>
                <w:color w:val="000000"/>
                <w:spacing w:val="-6"/>
                <w:kern w:val="0"/>
                <w:sz w:val="18"/>
                <w:szCs w:val="18"/>
              </w:rPr>
              <w:t>2018</w:t>
            </w:r>
            <w:r>
              <w:rPr>
                <w:rFonts w:hint="eastAsia" w:hAnsi="宋体"/>
                <w:color w:val="000000"/>
                <w:spacing w:val="-6"/>
                <w:kern w:val="0"/>
                <w:sz w:val="18"/>
                <w:szCs w:val="18"/>
              </w:rPr>
              <w:t>年、</w:t>
            </w:r>
            <w:r>
              <w:rPr>
                <w:color w:val="000000"/>
                <w:spacing w:val="-6"/>
                <w:kern w:val="0"/>
                <w:sz w:val="18"/>
                <w:szCs w:val="18"/>
              </w:rPr>
              <w:t>2019</w:t>
            </w:r>
            <w:r>
              <w:rPr>
                <w:rFonts w:hint="eastAsia" w:hAnsi="宋体"/>
                <w:color w:val="000000"/>
                <w:spacing w:val="-6"/>
                <w:kern w:val="0"/>
                <w:sz w:val="18"/>
                <w:szCs w:val="18"/>
              </w:rPr>
              <w:t>年两年平均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 xml:space="preserve"> </w:t>
            </w:r>
            <w:r>
              <w:rPr>
                <w:color w:val="000000"/>
                <w:spacing w:val="-6"/>
                <w:kern w:val="0"/>
                <w:sz w:val="18"/>
                <w:szCs w:val="18"/>
                <w:u w:val="single"/>
              </w:rPr>
              <w:t xml:space="preserve">                </w:t>
            </w:r>
            <w:r>
              <w:rPr>
                <w:rFonts w:hint="eastAsia" w:hAnsi="宋体"/>
                <w:color w:val="000000"/>
                <w:spacing w:val="-6"/>
                <w:kern w:val="0"/>
                <w:sz w:val="18"/>
                <w:szCs w:val="18"/>
              </w:rPr>
              <w:t>万元。</w:t>
            </w: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1"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522" w:type="pct"/>
            <w:vMerge w:val="continue"/>
            <w:vAlign w:val="center"/>
          </w:tcPr>
          <w:p>
            <w:pPr>
              <w:widowControl/>
              <w:spacing w:line="220" w:lineRule="exact"/>
              <w:ind w:left="-63" w:leftChars="-30" w:right="-63" w:rightChars="-30"/>
              <w:jc w:val="left"/>
              <w:rPr>
                <w:color w:val="000000"/>
                <w:spacing w:val="-6"/>
                <w:kern w:val="0"/>
                <w:sz w:val="18"/>
                <w:szCs w:val="18"/>
              </w:rPr>
            </w:pPr>
          </w:p>
        </w:tc>
        <w:tc>
          <w:tcPr>
            <w:tcW w:w="2330" w:type="pct"/>
            <w:vAlign w:val="center"/>
          </w:tcPr>
          <w:p>
            <w:pPr>
              <w:widowControl/>
              <w:spacing w:line="220" w:lineRule="exact"/>
              <w:ind w:left="-63" w:leftChars="-30" w:right="-63" w:rightChars="-30"/>
              <w:rPr>
                <w:color w:val="000000"/>
                <w:spacing w:val="-6"/>
                <w:kern w:val="0"/>
                <w:sz w:val="18"/>
                <w:szCs w:val="18"/>
              </w:rPr>
            </w:pPr>
            <w:r>
              <w:rPr>
                <w:rFonts w:hAnsi="宋体"/>
                <w:color w:val="000000"/>
                <w:spacing w:val="-6"/>
                <w:kern w:val="0"/>
                <w:sz w:val="18"/>
                <w:szCs w:val="18"/>
              </w:rPr>
              <w:t>1</w:t>
            </w:r>
            <w:r>
              <w:rPr>
                <w:rFonts w:hint="eastAsia" w:hAnsi="宋体"/>
                <w:color w:val="000000"/>
                <w:spacing w:val="-6"/>
                <w:kern w:val="0"/>
                <w:sz w:val="18"/>
                <w:szCs w:val="18"/>
              </w:rPr>
              <w:t>、两年平均</w:t>
            </w:r>
            <w:r>
              <w:rPr>
                <w:rFonts w:hint="eastAsia"/>
                <w:color w:val="000000"/>
                <w:spacing w:val="-6"/>
                <w:kern w:val="0"/>
                <w:sz w:val="18"/>
                <w:szCs w:val="18"/>
              </w:rPr>
              <w:t>“</w:t>
            </w:r>
            <w:r>
              <w:rPr>
                <w:rFonts w:hint="eastAsia" w:hAnsi="宋体"/>
                <w:color w:val="000000"/>
                <w:spacing w:val="-6"/>
                <w:kern w:val="0"/>
                <w:sz w:val="18"/>
                <w:szCs w:val="18"/>
              </w:rPr>
              <w:t>其它工程咨询业务收入</w:t>
            </w:r>
            <w:r>
              <w:rPr>
                <w:rFonts w:hint="eastAsia"/>
                <w:color w:val="000000"/>
                <w:spacing w:val="-6"/>
                <w:kern w:val="0"/>
                <w:sz w:val="18"/>
                <w:szCs w:val="18"/>
              </w:rPr>
              <w:t>”</w:t>
            </w:r>
            <w:r>
              <w:rPr>
                <w:rFonts w:hint="eastAsia" w:hAnsi="宋体"/>
                <w:color w:val="000000"/>
                <w:spacing w:val="-6"/>
                <w:kern w:val="0"/>
                <w:sz w:val="18"/>
                <w:szCs w:val="18"/>
              </w:rPr>
              <w:t>超过两年平均</w:t>
            </w:r>
            <w:r>
              <w:rPr>
                <w:rFonts w:hint="eastAsia"/>
                <w:color w:val="000000"/>
                <w:spacing w:val="-6"/>
                <w:kern w:val="0"/>
                <w:sz w:val="18"/>
                <w:szCs w:val="18"/>
              </w:rPr>
              <w:t>“</w:t>
            </w:r>
            <w:r>
              <w:rPr>
                <w:rFonts w:hint="eastAsia" w:hAnsi="宋体"/>
                <w:color w:val="000000"/>
                <w:spacing w:val="-6"/>
                <w:kern w:val="0"/>
                <w:sz w:val="18"/>
                <w:szCs w:val="18"/>
              </w:rPr>
              <w:t>工程造价咨询业务收入合计</w:t>
            </w:r>
            <w:r>
              <w:rPr>
                <w:rFonts w:hint="eastAsia"/>
                <w:color w:val="000000"/>
                <w:spacing w:val="-6"/>
                <w:kern w:val="0"/>
                <w:sz w:val="18"/>
                <w:szCs w:val="18"/>
              </w:rPr>
              <w:t>”</w:t>
            </w:r>
            <w:r>
              <w:rPr>
                <w:color w:val="000000"/>
                <w:spacing w:val="-6"/>
                <w:kern w:val="0"/>
                <w:sz w:val="18"/>
                <w:szCs w:val="18"/>
              </w:rPr>
              <w:t>20%</w:t>
            </w:r>
            <w:r>
              <w:rPr>
                <w:rFonts w:hint="eastAsia" w:hAnsi="宋体"/>
                <w:color w:val="000000"/>
                <w:spacing w:val="-6"/>
                <w:kern w:val="0"/>
                <w:sz w:val="18"/>
                <w:szCs w:val="18"/>
              </w:rPr>
              <w:t>，不足</w:t>
            </w:r>
            <w:r>
              <w:rPr>
                <w:color w:val="000000"/>
                <w:spacing w:val="-6"/>
                <w:kern w:val="0"/>
                <w:sz w:val="18"/>
                <w:szCs w:val="18"/>
              </w:rPr>
              <w:t>40%</w:t>
            </w:r>
            <w:r>
              <w:rPr>
                <w:rFonts w:hint="eastAsia" w:hAnsi="宋体"/>
                <w:color w:val="000000"/>
                <w:spacing w:val="-6"/>
                <w:kern w:val="0"/>
                <w:sz w:val="18"/>
                <w:szCs w:val="18"/>
              </w:rPr>
              <w:t>的，计加</w:t>
            </w:r>
            <w:r>
              <w:rPr>
                <w:color w:val="000000"/>
                <w:spacing w:val="-6"/>
                <w:kern w:val="0"/>
                <w:sz w:val="18"/>
                <w:szCs w:val="18"/>
              </w:rPr>
              <w:t>1</w:t>
            </w:r>
            <w:r>
              <w:rPr>
                <w:rFonts w:hint="eastAsia" w:hAnsi="宋体"/>
                <w:color w:val="000000"/>
                <w:spacing w:val="-6"/>
                <w:kern w:val="0"/>
                <w:sz w:val="18"/>
                <w:szCs w:val="18"/>
              </w:rPr>
              <w:t>分；超过</w:t>
            </w:r>
            <w:r>
              <w:rPr>
                <w:color w:val="000000"/>
                <w:spacing w:val="-6"/>
                <w:kern w:val="0"/>
                <w:sz w:val="18"/>
                <w:szCs w:val="18"/>
              </w:rPr>
              <w:t>40%</w:t>
            </w:r>
            <w:r>
              <w:rPr>
                <w:rFonts w:hint="eastAsia" w:hAnsi="宋体"/>
                <w:color w:val="000000"/>
                <w:spacing w:val="-6"/>
                <w:kern w:val="0"/>
                <w:sz w:val="18"/>
                <w:szCs w:val="18"/>
              </w:rPr>
              <w:t>，不足</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2</w:t>
            </w:r>
            <w:r>
              <w:rPr>
                <w:rFonts w:hint="eastAsia" w:hAnsi="宋体"/>
                <w:color w:val="000000"/>
                <w:spacing w:val="-6"/>
                <w:kern w:val="0"/>
                <w:sz w:val="18"/>
                <w:szCs w:val="18"/>
              </w:rPr>
              <w:t>分；超过</w:t>
            </w:r>
            <w:r>
              <w:rPr>
                <w:color w:val="000000"/>
                <w:spacing w:val="-6"/>
                <w:kern w:val="0"/>
                <w:sz w:val="18"/>
                <w:szCs w:val="18"/>
              </w:rPr>
              <w:t>60%</w:t>
            </w:r>
            <w:r>
              <w:rPr>
                <w:rFonts w:hint="eastAsia" w:hAnsi="宋体"/>
                <w:color w:val="000000"/>
                <w:spacing w:val="-6"/>
                <w:kern w:val="0"/>
                <w:sz w:val="18"/>
                <w:szCs w:val="18"/>
              </w:rPr>
              <w:t>的，计加</w:t>
            </w:r>
            <w:r>
              <w:rPr>
                <w:color w:val="000000"/>
                <w:spacing w:val="-6"/>
                <w:kern w:val="0"/>
                <w:sz w:val="18"/>
                <w:szCs w:val="18"/>
              </w:rPr>
              <w:t>3</w:t>
            </w:r>
            <w:r>
              <w:rPr>
                <w:rFonts w:hint="eastAsia" w:hAnsi="宋体"/>
                <w:color w:val="000000"/>
                <w:spacing w:val="-6"/>
                <w:kern w:val="0"/>
                <w:sz w:val="18"/>
                <w:szCs w:val="18"/>
              </w:rPr>
              <w:t>分。</w:t>
            </w:r>
          </w:p>
        </w:tc>
        <w:tc>
          <w:tcPr>
            <w:tcW w:w="202" w:type="pct"/>
            <w:noWrap/>
            <w:vAlign w:val="center"/>
          </w:tcPr>
          <w:p>
            <w:pPr>
              <w:widowControl/>
              <w:spacing w:line="220" w:lineRule="exact"/>
              <w:ind w:left="-63" w:leftChars="-30" w:right="-63" w:rightChars="-30"/>
              <w:jc w:val="center"/>
              <w:rPr>
                <w:color w:val="000000"/>
                <w:spacing w:val="-6"/>
                <w:kern w:val="0"/>
                <w:sz w:val="18"/>
                <w:szCs w:val="18"/>
              </w:rPr>
            </w:pPr>
          </w:p>
        </w:tc>
        <w:tc>
          <w:tcPr>
            <w:tcW w:w="202" w:type="pct"/>
            <w:vAlign w:val="center"/>
          </w:tcPr>
          <w:p>
            <w:pPr>
              <w:widowControl/>
              <w:spacing w:line="220" w:lineRule="exact"/>
              <w:ind w:left="-63" w:leftChars="-30" w:right="-63" w:rightChars="-30"/>
              <w:jc w:val="center"/>
              <w:rPr>
                <w:color w:val="000000"/>
                <w:spacing w:val="-6"/>
                <w:kern w:val="0"/>
                <w:sz w:val="18"/>
                <w:szCs w:val="18"/>
              </w:rPr>
            </w:pPr>
          </w:p>
        </w:tc>
        <w:tc>
          <w:tcPr>
            <w:tcW w:w="202"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203" w:type="pct"/>
            <w:vMerge w:val="continue"/>
            <w:vAlign w:val="center"/>
          </w:tcPr>
          <w:p>
            <w:pPr>
              <w:widowControl/>
              <w:spacing w:line="220" w:lineRule="exact"/>
              <w:ind w:left="-63" w:leftChars="-30" w:right="-63" w:rightChars="-30"/>
              <w:jc w:val="center"/>
              <w:rPr>
                <w:color w:val="000000"/>
                <w:spacing w:val="-6"/>
                <w:kern w:val="0"/>
                <w:sz w:val="18"/>
                <w:szCs w:val="18"/>
              </w:rPr>
            </w:pPr>
          </w:p>
        </w:tc>
        <w:tc>
          <w:tcPr>
            <w:tcW w:w="1054" w:type="pct"/>
            <w:vMerge w:val="continue"/>
            <w:vAlign w:val="center"/>
          </w:tcPr>
          <w:p>
            <w:pPr>
              <w:widowControl/>
              <w:spacing w:line="260" w:lineRule="exact"/>
              <w:ind w:left="-63" w:leftChars="-30" w:right="-63" w:rightChars="-30"/>
              <w:rPr>
                <w:color w:val="000000"/>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34" w:type="pct"/>
            <w:gridSpan w:val="3"/>
            <w:noWrap/>
            <w:vAlign w:val="center"/>
          </w:tcPr>
          <w:p>
            <w:pPr>
              <w:widowControl/>
              <w:spacing w:line="220" w:lineRule="exact"/>
              <w:ind w:left="-63" w:leftChars="-30" w:right="-63" w:rightChars="-30"/>
              <w:jc w:val="center"/>
              <w:rPr>
                <w:b/>
                <w:color w:val="000000"/>
                <w:spacing w:val="-6"/>
                <w:kern w:val="0"/>
                <w:sz w:val="18"/>
                <w:szCs w:val="18"/>
              </w:rPr>
            </w:pPr>
            <w:r>
              <w:rPr>
                <w:rFonts w:hint="eastAsia" w:hAnsi="宋体"/>
                <w:b/>
                <w:color w:val="000000"/>
                <w:spacing w:val="-6"/>
                <w:kern w:val="0"/>
                <w:sz w:val="18"/>
                <w:szCs w:val="18"/>
              </w:rPr>
              <w:t>评</w:t>
            </w:r>
            <w:r>
              <w:rPr>
                <w:b/>
                <w:color w:val="000000"/>
                <w:spacing w:val="-6"/>
                <w:kern w:val="0"/>
                <w:sz w:val="18"/>
                <w:szCs w:val="18"/>
              </w:rPr>
              <w:t xml:space="preserve">  </w:t>
            </w:r>
            <w:r>
              <w:rPr>
                <w:rFonts w:hint="eastAsia" w:hAnsi="宋体"/>
                <w:b/>
                <w:color w:val="000000"/>
                <w:spacing w:val="-6"/>
                <w:kern w:val="0"/>
                <w:sz w:val="18"/>
                <w:szCs w:val="18"/>
              </w:rPr>
              <w:t>价</w:t>
            </w:r>
            <w:r>
              <w:rPr>
                <w:b/>
                <w:color w:val="000000"/>
                <w:spacing w:val="-6"/>
                <w:kern w:val="0"/>
                <w:sz w:val="18"/>
                <w:szCs w:val="18"/>
              </w:rPr>
              <w:t xml:space="preserve">  </w:t>
            </w:r>
            <w:r>
              <w:rPr>
                <w:rFonts w:hint="eastAsia" w:hAnsi="宋体"/>
                <w:b/>
                <w:color w:val="000000"/>
                <w:spacing w:val="-6"/>
                <w:kern w:val="0"/>
                <w:sz w:val="18"/>
                <w:szCs w:val="18"/>
              </w:rPr>
              <w:t>得</w:t>
            </w:r>
            <w:r>
              <w:rPr>
                <w:b/>
                <w:color w:val="000000"/>
                <w:spacing w:val="-6"/>
                <w:kern w:val="0"/>
                <w:sz w:val="18"/>
                <w:szCs w:val="18"/>
              </w:rPr>
              <w:t xml:space="preserve">  </w:t>
            </w:r>
            <w:r>
              <w:rPr>
                <w:rFonts w:hint="eastAsia" w:hAnsi="宋体"/>
                <w:b/>
                <w:color w:val="000000"/>
                <w:spacing w:val="-6"/>
                <w:kern w:val="0"/>
                <w:sz w:val="18"/>
                <w:szCs w:val="18"/>
              </w:rPr>
              <w:t>分</w:t>
            </w:r>
            <w:r>
              <w:rPr>
                <w:b/>
                <w:color w:val="000000"/>
                <w:spacing w:val="-6"/>
                <w:kern w:val="0"/>
                <w:sz w:val="18"/>
                <w:szCs w:val="18"/>
              </w:rPr>
              <w:t xml:space="preserve">  </w:t>
            </w:r>
            <w:r>
              <w:rPr>
                <w:rFonts w:hint="eastAsia" w:hAnsi="宋体"/>
                <w:b/>
                <w:color w:val="000000"/>
                <w:spacing w:val="-6"/>
                <w:kern w:val="0"/>
                <w:sz w:val="18"/>
                <w:szCs w:val="18"/>
              </w:rPr>
              <w:t>合</w:t>
            </w:r>
            <w:r>
              <w:rPr>
                <w:b/>
                <w:color w:val="000000"/>
                <w:spacing w:val="-6"/>
                <w:kern w:val="0"/>
                <w:sz w:val="18"/>
                <w:szCs w:val="18"/>
              </w:rPr>
              <w:t xml:space="preserve">  </w:t>
            </w:r>
            <w:r>
              <w:rPr>
                <w:rFonts w:hint="eastAsia" w:hAnsi="宋体"/>
                <w:b/>
                <w:color w:val="000000"/>
                <w:spacing w:val="-6"/>
                <w:kern w:val="0"/>
                <w:sz w:val="18"/>
                <w:szCs w:val="18"/>
              </w:rPr>
              <w:t>计</w:t>
            </w:r>
          </w:p>
        </w:tc>
        <w:tc>
          <w:tcPr>
            <w:tcW w:w="202" w:type="pct"/>
            <w:noWrap/>
            <w:vAlign w:val="center"/>
          </w:tcPr>
          <w:p>
            <w:pPr>
              <w:widowControl/>
              <w:spacing w:line="220" w:lineRule="exact"/>
              <w:ind w:left="-63" w:leftChars="-30" w:right="-63" w:rightChars="-30"/>
              <w:jc w:val="center"/>
              <w:rPr>
                <w:color w:val="000000"/>
                <w:spacing w:val="-6"/>
                <w:kern w:val="0"/>
                <w:sz w:val="18"/>
                <w:szCs w:val="18"/>
              </w:rPr>
            </w:pPr>
          </w:p>
        </w:tc>
        <w:tc>
          <w:tcPr>
            <w:tcW w:w="202" w:type="pct"/>
            <w:noWrap/>
            <w:vAlign w:val="center"/>
          </w:tcPr>
          <w:p>
            <w:pPr>
              <w:widowControl/>
              <w:spacing w:line="220" w:lineRule="exact"/>
              <w:ind w:left="-63" w:leftChars="-30" w:right="-63" w:rightChars="-30"/>
              <w:jc w:val="center"/>
              <w:rPr>
                <w:rFonts w:hAnsi="宋体"/>
                <w:color w:val="000000"/>
                <w:spacing w:val="-6"/>
                <w:kern w:val="0"/>
                <w:sz w:val="18"/>
                <w:szCs w:val="18"/>
              </w:rPr>
            </w:pPr>
          </w:p>
        </w:tc>
        <w:tc>
          <w:tcPr>
            <w:tcW w:w="202" w:type="pct"/>
            <w:noWrap/>
            <w:vAlign w:val="center"/>
          </w:tcPr>
          <w:p>
            <w:pPr>
              <w:widowControl/>
              <w:spacing w:line="220" w:lineRule="exact"/>
              <w:ind w:left="-63" w:leftChars="-30" w:right="-63" w:rightChars="-30"/>
              <w:jc w:val="center"/>
              <w:rPr>
                <w:color w:val="000000"/>
                <w:spacing w:val="-6"/>
                <w:kern w:val="0"/>
                <w:sz w:val="18"/>
                <w:szCs w:val="18"/>
              </w:rPr>
            </w:pPr>
            <w:r>
              <w:rPr>
                <w:rFonts w:hAnsi="宋体"/>
                <w:color w:val="000000"/>
                <w:spacing w:val="-6"/>
                <w:kern w:val="0"/>
                <w:sz w:val="18"/>
                <w:szCs w:val="18"/>
              </w:rPr>
              <w:t>3</w:t>
            </w:r>
          </w:p>
        </w:tc>
        <w:tc>
          <w:tcPr>
            <w:tcW w:w="203" w:type="pct"/>
            <w:vAlign w:val="center"/>
          </w:tcPr>
          <w:p>
            <w:pPr>
              <w:widowControl/>
              <w:spacing w:line="220" w:lineRule="exact"/>
              <w:ind w:left="-63" w:leftChars="-30" w:right="-63" w:rightChars="-30"/>
              <w:jc w:val="center"/>
              <w:rPr>
                <w:color w:val="000000"/>
                <w:spacing w:val="-6"/>
                <w:kern w:val="0"/>
                <w:sz w:val="18"/>
                <w:szCs w:val="18"/>
              </w:rPr>
            </w:pPr>
          </w:p>
        </w:tc>
        <w:tc>
          <w:tcPr>
            <w:tcW w:w="1054" w:type="pct"/>
            <w:noWrap/>
            <w:vAlign w:val="center"/>
          </w:tcPr>
          <w:p>
            <w:pPr>
              <w:widowControl/>
              <w:spacing w:line="260" w:lineRule="exact"/>
              <w:ind w:left="-63" w:leftChars="-30" w:right="-63" w:rightChars="-30"/>
              <w:rPr>
                <w:color w:val="000000"/>
                <w:spacing w:val="-6"/>
                <w:kern w:val="0"/>
                <w:sz w:val="18"/>
                <w:szCs w:val="18"/>
              </w:rPr>
            </w:pPr>
            <w:r>
              <w:rPr>
                <w:rFonts w:hint="eastAsia" w:hAnsi="宋体"/>
                <w:color w:val="000000"/>
                <w:spacing w:val="-6"/>
                <w:kern w:val="0"/>
                <w:sz w:val="18"/>
                <w:szCs w:val="18"/>
              </w:rPr>
              <w:t>　</w:t>
            </w:r>
          </w:p>
        </w:tc>
      </w:tr>
    </w:tbl>
    <w:p>
      <w:pPr>
        <w:rPr>
          <w:color w:val="000000"/>
        </w:rPr>
      </w:pPr>
    </w:p>
    <w:p>
      <w:pPr>
        <w:rPr>
          <w:color w:val="000000"/>
          <w:sz w:val="18"/>
          <w:szCs w:val="18"/>
        </w:rPr>
      </w:pPr>
      <w:r>
        <w:rPr>
          <w:rFonts w:hint="eastAsia"/>
          <w:color w:val="000000"/>
          <w:sz w:val="18"/>
          <w:szCs w:val="18"/>
        </w:rPr>
        <w:t>备注：</w:t>
      </w:r>
      <w:r>
        <w:rPr>
          <w:color w:val="000000"/>
          <w:sz w:val="18"/>
          <w:szCs w:val="18"/>
        </w:rPr>
        <w:t>1</w:t>
      </w:r>
      <w:r>
        <w:rPr>
          <w:rFonts w:hint="eastAsia"/>
          <w:color w:val="000000"/>
          <w:sz w:val="18"/>
          <w:szCs w:val="18"/>
        </w:rPr>
        <w:t>、本表根据国家工程造价咨询统计报表制度“建造</w:t>
      </w:r>
      <w:r>
        <w:rPr>
          <w:color w:val="000000"/>
          <w:sz w:val="18"/>
          <w:szCs w:val="18"/>
        </w:rPr>
        <w:t>3</w:t>
      </w:r>
      <w:r>
        <w:rPr>
          <w:rFonts w:hint="eastAsia"/>
          <w:color w:val="000000"/>
          <w:sz w:val="18"/>
          <w:szCs w:val="18"/>
        </w:rPr>
        <w:t>表”的“工程造价咨询业务收入”的专业分类，采集企业年报资料中的各专业咨询业务收入数据，不需企业填写。</w:t>
      </w:r>
    </w:p>
    <w:p>
      <w:pPr>
        <w:ind w:firstLine="540" w:firstLineChars="300"/>
        <w:rPr>
          <w:color w:val="000000"/>
          <w:sz w:val="18"/>
          <w:szCs w:val="18"/>
        </w:rPr>
      </w:pPr>
      <w:r>
        <w:rPr>
          <w:color w:val="000000"/>
          <w:sz w:val="18"/>
          <w:szCs w:val="18"/>
        </w:rPr>
        <w:t>2</w:t>
      </w:r>
      <w:r>
        <w:rPr>
          <w:rFonts w:hint="eastAsia"/>
          <w:color w:val="000000"/>
          <w:sz w:val="18"/>
          <w:szCs w:val="18"/>
        </w:rPr>
        <w:t>、</w:t>
      </w:r>
      <w:r>
        <w:rPr>
          <w:color w:val="000000"/>
          <w:sz w:val="18"/>
          <w:szCs w:val="18"/>
        </w:rPr>
        <w:t>23</w:t>
      </w:r>
      <w:r>
        <w:rPr>
          <w:rFonts w:hint="eastAsia"/>
          <w:color w:val="000000"/>
          <w:sz w:val="18"/>
          <w:szCs w:val="18"/>
        </w:rPr>
        <w:t>项专业工程“咨询业务收入”统计代码根据“工程造价咨询统计报表</w:t>
      </w:r>
      <w:r>
        <w:rPr>
          <w:color w:val="000000"/>
          <w:sz w:val="18"/>
          <w:szCs w:val="18"/>
        </w:rPr>
        <w:t>3</w:t>
      </w:r>
      <w:r>
        <w:rPr>
          <w:rFonts w:hint="eastAsia"/>
          <w:color w:val="000000"/>
          <w:sz w:val="18"/>
          <w:szCs w:val="18"/>
        </w:rPr>
        <w:t>”</w:t>
      </w:r>
      <w:r>
        <w:rPr>
          <w:color w:val="000000"/>
          <w:sz w:val="18"/>
          <w:szCs w:val="18"/>
        </w:rPr>
        <w:t xml:space="preserve"> </w:t>
      </w:r>
      <w:r>
        <w:rPr>
          <w:rFonts w:hint="eastAsia"/>
          <w:color w:val="000000"/>
          <w:sz w:val="18"/>
          <w:szCs w:val="18"/>
        </w:rPr>
        <w:t>的规定；</w:t>
      </w:r>
    </w:p>
    <w:p>
      <w:pPr>
        <w:ind w:firstLine="540" w:firstLineChars="300"/>
        <w:rPr>
          <w:color w:val="000000"/>
          <w:sz w:val="18"/>
          <w:szCs w:val="18"/>
        </w:rPr>
      </w:pPr>
      <w:r>
        <w:rPr>
          <w:color w:val="000000"/>
          <w:sz w:val="18"/>
          <w:szCs w:val="18"/>
        </w:rPr>
        <w:t>3</w:t>
      </w:r>
      <w:r>
        <w:rPr>
          <w:rFonts w:hint="eastAsia"/>
          <w:color w:val="000000"/>
          <w:sz w:val="18"/>
          <w:szCs w:val="18"/>
        </w:rPr>
        <w:t>、“工程造价咨询业务收入合计”由信用评价系统从造价咨询企业年度“工程造价咨询统计报表</w:t>
      </w:r>
      <w:r>
        <w:rPr>
          <w:color w:val="000000"/>
          <w:sz w:val="18"/>
          <w:szCs w:val="18"/>
        </w:rPr>
        <w:t>3</w:t>
      </w:r>
      <w:r>
        <w:rPr>
          <w:rFonts w:hint="eastAsia"/>
          <w:color w:val="000000"/>
          <w:sz w:val="18"/>
          <w:szCs w:val="18"/>
        </w:rPr>
        <w:t>”中提取，不需企业填写。</w:t>
      </w:r>
    </w:p>
    <w:p>
      <w:pPr>
        <w:ind w:firstLine="540" w:firstLineChars="300"/>
        <w:rPr>
          <w:color w:val="000000"/>
          <w:sz w:val="18"/>
          <w:szCs w:val="18"/>
        </w:rPr>
      </w:pPr>
      <w:r>
        <w:rPr>
          <w:color w:val="000000"/>
          <w:sz w:val="18"/>
          <w:szCs w:val="18"/>
        </w:rPr>
        <w:t>4</w:t>
      </w:r>
      <w:r>
        <w:rPr>
          <w:rFonts w:hint="eastAsia"/>
          <w:color w:val="000000"/>
          <w:sz w:val="18"/>
          <w:szCs w:val="18"/>
        </w:rPr>
        <w:t>、两年平均咨询业务收入为算术平均值，小数点后四舍五入保留两位小数，由信用评价系统自动生成，不需企业填写。</w:t>
      </w:r>
    </w:p>
    <w:p>
      <w:pPr>
        <w:ind w:firstLine="540" w:firstLineChars="300"/>
        <w:rPr>
          <w:color w:val="000000"/>
          <w:sz w:val="18"/>
          <w:szCs w:val="18"/>
        </w:rPr>
      </w:pPr>
      <w:r>
        <w:rPr>
          <w:color w:val="000000"/>
          <w:sz w:val="18"/>
          <w:szCs w:val="18"/>
        </w:rPr>
        <w:t>5</w:t>
      </w:r>
      <w:r>
        <w:rPr>
          <w:rFonts w:hint="eastAsia"/>
          <w:color w:val="000000"/>
          <w:sz w:val="18"/>
          <w:szCs w:val="18"/>
        </w:rPr>
        <w:t>、“加分分值”、“评价得分”由信用评价专家小组在线给予赋分，并按四舍五入保留小数点两位处理。</w:t>
      </w:r>
    </w:p>
    <w:p>
      <w:pPr>
        <w:ind w:firstLine="540" w:firstLineChars="300"/>
        <w:rPr>
          <w:color w:val="000000"/>
          <w:sz w:val="18"/>
          <w:szCs w:val="18"/>
        </w:rPr>
      </w:pPr>
      <w:r>
        <w:rPr>
          <w:color w:val="000000"/>
          <w:sz w:val="18"/>
          <w:szCs w:val="18"/>
        </w:rPr>
        <w:t>6</w:t>
      </w:r>
      <w:r>
        <w:rPr>
          <w:rFonts w:hint="eastAsia"/>
          <w:color w:val="000000"/>
          <w:sz w:val="18"/>
          <w:szCs w:val="18"/>
        </w:rPr>
        <w:t>、“评价得分合计”限额为</w:t>
      </w:r>
      <w:r>
        <w:rPr>
          <w:color w:val="000000"/>
          <w:sz w:val="18"/>
          <w:szCs w:val="18"/>
        </w:rPr>
        <w:t>3</w:t>
      </w:r>
      <w:r>
        <w:rPr>
          <w:rFonts w:hint="eastAsia"/>
          <w:color w:val="000000"/>
          <w:sz w:val="18"/>
          <w:szCs w:val="18"/>
        </w:rPr>
        <w:t>分，加分超过</w:t>
      </w:r>
      <w:r>
        <w:rPr>
          <w:color w:val="000000"/>
          <w:sz w:val="18"/>
          <w:szCs w:val="18"/>
        </w:rPr>
        <w:t>3</w:t>
      </w:r>
      <w:r>
        <w:rPr>
          <w:rFonts w:hint="eastAsia"/>
          <w:color w:val="000000"/>
          <w:sz w:val="18"/>
          <w:szCs w:val="18"/>
        </w:rPr>
        <w:t>分的按</w:t>
      </w:r>
      <w:r>
        <w:rPr>
          <w:color w:val="000000"/>
          <w:sz w:val="18"/>
          <w:szCs w:val="18"/>
        </w:rPr>
        <w:t>3</w:t>
      </w:r>
      <w:r>
        <w:rPr>
          <w:rFonts w:hint="eastAsia"/>
          <w:color w:val="000000"/>
          <w:sz w:val="18"/>
          <w:szCs w:val="18"/>
        </w:rPr>
        <w:t>分计。“评价得分合计”分值移入附表</w:t>
      </w:r>
      <w:r>
        <w:rPr>
          <w:color w:val="000000"/>
          <w:sz w:val="18"/>
          <w:szCs w:val="18"/>
        </w:rPr>
        <w:t>2</w:t>
      </w:r>
      <w:r>
        <w:rPr>
          <w:rFonts w:hint="eastAsia"/>
          <w:color w:val="000000"/>
          <w:sz w:val="18"/>
          <w:szCs w:val="18"/>
        </w:rPr>
        <w:t>“专业咨询能力”，给予汇总处理。</w:t>
      </w:r>
    </w:p>
    <w:p>
      <w:pPr>
        <w:ind w:firstLine="540" w:firstLineChars="300"/>
        <w:rPr>
          <w:color w:val="000000"/>
          <w:sz w:val="18"/>
          <w:szCs w:val="18"/>
        </w:rPr>
      </w:pPr>
    </w:p>
    <w:p>
      <w:pPr>
        <w:rPr>
          <w:color w:val="000000"/>
        </w:rPr>
      </w:pPr>
    </w:p>
    <w:p>
      <w:pPr>
        <w:rPr>
          <w:rFonts w:eastAsia="方正黑体_GBK"/>
          <w:color w:val="000000"/>
          <w:kern w:val="0"/>
          <w:sz w:val="32"/>
          <w:szCs w:val="32"/>
        </w:rPr>
      </w:pPr>
      <w:r>
        <w:rPr>
          <w:color w:val="000000"/>
        </w:rPr>
        <w:br w:type="column"/>
      </w:r>
      <w:r>
        <w:rPr>
          <w:rFonts w:hint="eastAsia" w:eastAsia="方正黑体_GBK"/>
          <w:color w:val="000000"/>
          <w:kern w:val="0"/>
          <w:sz w:val="32"/>
          <w:szCs w:val="32"/>
        </w:rPr>
        <w:t>附表</w:t>
      </w:r>
      <w:r>
        <w:rPr>
          <w:rFonts w:eastAsia="方正黑体_GBK"/>
          <w:color w:val="000000"/>
          <w:kern w:val="0"/>
          <w:sz w:val="32"/>
          <w:szCs w:val="32"/>
        </w:rPr>
        <w:t xml:space="preserve">4   </w:t>
      </w:r>
    </w:p>
    <w:p>
      <w:pPr>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江苏省工程造价咨询企业良好行为评价加分表</w:t>
      </w:r>
    </w:p>
    <w:p>
      <w:pPr>
        <w:rPr>
          <w:color w:val="000000"/>
        </w:rPr>
      </w:pPr>
    </w:p>
    <w:tbl>
      <w:tblPr>
        <w:tblStyle w:val="7"/>
        <w:tblW w:w="14480" w:type="dxa"/>
        <w:tblInd w:w="9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45"/>
        <w:gridCol w:w="6194"/>
        <w:gridCol w:w="710"/>
        <w:gridCol w:w="663"/>
        <w:gridCol w:w="712"/>
        <w:gridCol w:w="713"/>
        <w:gridCol w:w="3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0" w:type="dxa"/>
            <w:vMerge w:val="restart"/>
            <w:tcBorders>
              <w:top w:val="single" w:color="auto" w:sz="8" w:space="0"/>
            </w:tcBorders>
            <w:noWrap/>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序号</w:t>
            </w:r>
          </w:p>
        </w:tc>
        <w:tc>
          <w:tcPr>
            <w:tcW w:w="1545" w:type="dxa"/>
            <w:vMerge w:val="restart"/>
            <w:tcBorders>
              <w:top w:val="single" w:color="auto" w:sz="8" w:space="0"/>
            </w:tcBorders>
            <w:noWrap/>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评价内容</w:t>
            </w:r>
          </w:p>
        </w:tc>
        <w:tc>
          <w:tcPr>
            <w:tcW w:w="6194" w:type="dxa"/>
            <w:vMerge w:val="restart"/>
            <w:tcBorders>
              <w:top w:val="single" w:color="auto" w:sz="8" w:space="0"/>
            </w:tcBorders>
            <w:noWrap/>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良好行为评分细则</w:t>
            </w:r>
          </w:p>
        </w:tc>
        <w:tc>
          <w:tcPr>
            <w:tcW w:w="2798" w:type="dxa"/>
            <w:gridSpan w:val="4"/>
            <w:tcBorders>
              <w:top w:val="single" w:color="auto" w:sz="8" w:space="0"/>
            </w:tcBorders>
            <w:noWrap/>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评价加分</w:t>
            </w:r>
          </w:p>
        </w:tc>
        <w:tc>
          <w:tcPr>
            <w:tcW w:w="3343" w:type="dxa"/>
            <w:vMerge w:val="restart"/>
            <w:tcBorders>
              <w:top w:val="single" w:color="auto" w:sz="8" w:space="0"/>
            </w:tcBorders>
            <w:noWrap/>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信息采集来源和资料提供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0" w:type="dxa"/>
            <w:vMerge w:val="continue"/>
            <w:vAlign w:val="center"/>
          </w:tcPr>
          <w:p>
            <w:pPr>
              <w:widowControl/>
              <w:spacing w:line="260" w:lineRule="exact"/>
              <w:ind w:left="-63" w:leftChars="-30" w:right="-63" w:rightChars="-30"/>
              <w:jc w:val="center"/>
              <w:rPr>
                <w:rFonts w:eastAsia="方正黑体_GBK"/>
                <w:color w:val="000000"/>
                <w:spacing w:val="-4"/>
                <w:kern w:val="0"/>
                <w:sz w:val="18"/>
                <w:szCs w:val="18"/>
              </w:rPr>
            </w:pPr>
          </w:p>
        </w:tc>
        <w:tc>
          <w:tcPr>
            <w:tcW w:w="1545" w:type="dxa"/>
            <w:vMerge w:val="continue"/>
            <w:vAlign w:val="center"/>
          </w:tcPr>
          <w:p>
            <w:pPr>
              <w:widowControl/>
              <w:spacing w:line="260" w:lineRule="exact"/>
              <w:ind w:left="-63" w:leftChars="-30" w:right="-63" w:rightChars="-30"/>
              <w:jc w:val="center"/>
              <w:rPr>
                <w:rFonts w:eastAsia="方正黑体_GBK"/>
                <w:color w:val="000000"/>
                <w:spacing w:val="-4"/>
                <w:kern w:val="0"/>
                <w:sz w:val="18"/>
                <w:szCs w:val="18"/>
              </w:rPr>
            </w:pPr>
          </w:p>
        </w:tc>
        <w:tc>
          <w:tcPr>
            <w:tcW w:w="6194" w:type="dxa"/>
            <w:vMerge w:val="continue"/>
            <w:vAlign w:val="center"/>
          </w:tcPr>
          <w:p>
            <w:pPr>
              <w:widowControl/>
              <w:spacing w:line="260" w:lineRule="exact"/>
              <w:ind w:left="-63" w:leftChars="-30" w:right="-63" w:rightChars="-30"/>
              <w:jc w:val="center"/>
              <w:rPr>
                <w:rFonts w:eastAsia="方正黑体_GBK"/>
                <w:color w:val="000000"/>
                <w:spacing w:val="-4"/>
                <w:kern w:val="0"/>
                <w:sz w:val="18"/>
                <w:szCs w:val="18"/>
              </w:rPr>
            </w:pPr>
          </w:p>
        </w:tc>
        <w:tc>
          <w:tcPr>
            <w:tcW w:w="710" w:type="dxa"/>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加分</w:t>
            </w:r>
          </w:p>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选项</w:t>
            </w:r>
          </w:p>
        </w:tc>
        <w:tc>
          <w:tcPr>
            <w:tcW w:w="663" w:type="dxa"/>
            <w:vAlign w:val="center"/>
          </w:tcPr>
          <w:p>
            <w:pPr>
              <w:widowControl/>
              <w:spacing w:line="260" w:lineRule="exact"/>
              <w:ind w:left="-63" w:leftChars="-30" w:right="-63" w:rightChars="-30"/>
              <w:jc w:val="center"/>
              <w:rPr>
                <w:rFonts w:hint="default" w:eastAsia="方正黑体_GBK"/>
                <w:color w:val="000000"/>
                <w:spacing w:val="-4"/>
                <w:kern w:val="0"/>
                <w:sz w:val="18"/>
                <w:szCs w:val="18"/>
                <w:lang w:val="en-US" w:eastAsia="zh-CN"/>
              </w:rPr>
            </w:pPr>
            <w:r>
              <w:rPr>
                <w:rFonts w:hint="eastAsia" w:eastAsia="方正黑体_GBK"/>
                <w:color w:val="000000"/>
                <w:spacing w:val="-4"/>
                <w:kern w:val="0"/>
                <w:sz w:val="18"/>
                <w:szCs w:val="18"/>
                <w:lang w:val="en-US" w:eastAsia="zh-CN"/>
              </w:rPr>
              <w:t>加分 分值</w:t>
            </w:r>
          </w:p>
        </w:tc>
        <w:tc>
          <w:tcPr>
            <w:tcW w:w="712" w:type="dxa"/>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加分</w:t>
            </w:r>
          </w:p>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限额</w:t>
            </w:r>
          </w:p>
        </w:tc>
        <w:tc>
          <w:tcPr>
            <w:tcW w:w="713" w:type="dxa"/>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评价</w:t>
            </w:r>
          </w:p>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得分</w:t>
            </w:r>
          </w:p>
        </w:tc>
        <w:tc>
          <w:tcPr>
            <w:tcW w:w="3343" w:type="dxa"/>
            <w:vMerge w:val="continue"/>
            <w:vAlign w:val="center"/>
          </w:tcPr>
          <w:p>
            <w:pPr>
              <w:widowControl/>
              <w:spacing w:line="260" w:lineRule="exact"/>
              <w:ind w:left="-63" w:leftChars="-30" w:right="-63" w:rightChars="-30"/>
              <w:jc w:val="center"/>
              <w:rPr>
                <w:rFonts w:eastAsia="方正黑体_GBK"/>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0" w:type="dxa"/>
            <w:noWrap/>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1</w:t>
            </w:r>
          </w:p>
        </w:tc>
        <w:tc>
          <w:tcPr>
            <w:tcW w:w="1545" w:type="dxa"/>
            <w:noWrap/>
            <w:vAlign w:val="center"/>
          </w:tcPr>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政府</w:t>
            </w:r>
          </w:p>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表彰表扬</w:t>
            </w:r>
          </w:p>
        </w:tc>
        <w:tc>
          <w:tcPr>
            <w:tcW w:w="6194" w:type="dxa"/>
            <w:vAlign w:val="center"/>
          </w:tcPr>
          <w:p>
            <w:pPr>
              <w:widowControl/>
              <w:spacing w:line="260" w:lineRule="exact"/>
              <w:ind w:left="-63" w:leftChars="-30" w:right="-63" w:rightChars="-30"/>
              <w:rPr>
                <w:color w:val="000000"/>
                <w:spacing w:val="-4"/>
                <w:kern w:val="0"/>
                <w:sz w:val="18"/>
                <w:szCs w:val="18"/>
              </w:rPr>
            </w:pPr>
            <w:r>
              <w:rPr>
                <w:rFonts w:hint="eastAsia" w:hAnsi="宋体"/>
                <w:color w:val="000000"/>
                <w:spacing w:val="-4"/>
                <w:kern w:val="0"/>
                <w:sz w:val="18"/>
                <w:szCs w:val="18"/>
              </w:rPr>
              <w:t>企业获得省市县（市、区）人民政府表彰表扬的，每次计加</w:t>
            </w:r>
            <w:r>
              <w:rPr>
                <w:color w:val="000000"/>
                <w:spacing w:val="-4"/>
                <w:kern w:val="0"/>
                <w:sz w:val="18"/>
                <w:szCs w:val="18"/>
              </w:rPr>
              <w:t>0.5</w:t>
            </w:r>
            <w:r>
              <w:rPr>
                <w:rFonts w:hint="eastAsia" w:hAnsi="宋体"/>
                <w:color w:val="000000"/>
                <w:spacing w:val="-4"/>
                <w:kern w:val="0"/>
                <w:sz w:val="18"/>
                <w:szCs w:val="18"/>
              </w:rPr>
              <w:t>分。</w:t>
            </w:r>
          </w:p>
        </w:tc>
        <w:tc>
          <w:tcPr>
            <w:tcW w:w="710" w:type="dxa"/>
            <w:vAlign w:val="center"/>
          </w:tcPr>
          <w:p>
            <w:pPr>
              <w:widowControl/>
              <w:spacing w:line="260" w:lineRule="exact"/>
              <w:ind w:left="-63" w:leftChars="-30" w:right="-63" w:rightChars="-30"/>
              <w:jc w:val="center"/>
              <w:rPr>
                <w:color w:val="000000"/>
                <w:spacing w:val="-4"/>
                <w:kern w:val="0"/>
                <w:sz w:val="18"/>
                <w:szCs w:val="18"/>
              </w:rPr>
            </w:pPr>
          </w:p>
        </w:tc>
        <w:tc>
          <w:tcPr>
            <w:tcW w:w="663" w:type="dxa"/>
            <w:vAlign w:val="center"/>
          </w:tcPr>
          <w:p>
            <w:pPr>
              <w:widowControl/>
              <w:spacing w:line="260" w:lineRule="exact"/>
              <w:ind w:left="-63" w:leftChars="-30" w:right="-63" w:rightChars="-30"/>
              <w:jc w:val="center"/>
              <w:rPr>
                <w:color w:val="000000"/>
                <w:spacing w:val="-4"/>
                <w:kern w:val="0"/>
                <w:sz w:val="18"/>
                <w:szCs w:val="18"/>
              </w:rPr>
            </w:pPr>
          </w:p>
        </w:tc>
        <w:tc>
          <w:tcPr>
            <w:tcW w:w="712" w:type="dxa"/>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1</w:t>
            </w:r>
          </w:p>
        </w:tc>
        <w:tc>
          <w:tcPr>
            <w:tcW w:w="713" w:type="dxa"/>
            <w:vAlign w:val="center"/>
          </w:tcPr>
          <w:p>
            <w:pPr>
              <w:widowControl/>
              <w:spacing w:line="260" w:lineRule="exact"/>
              <w:ind w:left="-63" w:leftChars="-30" w:right="-63" w:rightChars="-30"/>
              <w:jc w:val="center"/>
              <w:rPr>
                <w:color w:val="000000"/>
                <w:spacing w:val="-4"/>
                <w:kern w:val="0"/>
                <w:sz w:val="18"/>
                <w:szCs w:val="18"/>
              </w:rPr>
            </w:pPr>
          </w:p>
        </w:tc>
        <w:tc>
          <w:tcPr>
            <w:tcW w:w="3343" w:type="dxa"/>
            <w:vAlign w:val="center"/>
          </w:tcPr>
          <w:p>
            <w:pPr>
              <w:widowControl/>
              <w:spacing w:line="260" w:lineRule="exact"/>
              <w:ind w:left="-63" w:leftChars="-30" w:right="-63" w:rightChars="-30"/>
              <w:rPr>
                <w:color w:val="000000"/>
                <w:spacing w:val="-4"/>
                <w:kern w:val="0"/>
                <w:sz w:val="18"/>
                <w:szCs w:val="18"/>
              </w:rPr>
            </w:pPr>
            <w:r>
              <w:rPr>
                <w:rFonts w:hAnsi="宋体"/>
                <w:color w:val="000000"/>
                <w:spacing w:val="-4"/>
                <w:kern w:val="0"/>
                <w:sz w:val="18"/>
                <w:szCs w:val="18"/>
              </w:rPr>
              <w:t>1</w:t>
            </w:r>
            <w:r>
              <w:rPr>
                <w:rFonts w:hint="eastAsia" w:hAnsi="宋体"/>
                <w:color w:val="000000"/>
                <w:spacing w:val="-4"/>
                <w:kern w:val="0"/>
                <w:sz w:val="18"/>
                <w:szCs w:val="18"/>
              </w:rPr>
              <w:t>、企业提供由政府印发的有关表彰表扬带有文号的红头文件。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0" w:type="dxa"/>
            <w:noWrap/>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2</w:t>
            </w:r>
          </w:p>
        </w:tc>
        <w:tc>
          <w:tcPr>
            <w:tcW w:w="1545" w:type="dxa"/>
            <w:vAlign w:val="center"/>
          </w:tcPr>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政府部门</w:t>
            </w:r>
          </w:p>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表彰表扬</w:t>
            </w:r>
          </w:p>
        </w:tc>
        <w:tc>
          <w:tcPr>
            <w:tcW w:w="6194" w:type="dxa"/>
            <w:vAlign w:val="center"/>
          </w:tcPr>
          <w:p>
            <w:pPr>
              <w:widowControl/>
              <w:spacing w:line="260" w:lineRule="exact"/>
              <w:ind w:left="-63" w:leftChars="-30" w:right="-63" w:rightChars="-30"/>
              <w:rPr>
                <w:color w:val="000000"/>
                <w:spacing w:val="-4"/>
                <w:kern w:val="0"/>
                <w:sz w:val="18"/>
                <w:szCs w:val="18"/>
              </w:rPr>
            </w:pPr>
            <w:r>
              <w:rPr>
                <w:rFonts w:hint="eastAsia" w:hAnsi="宋体"/>
                <w:color w:val="000000"/>
                <w:spacing w:val="-4"/>
                <w:kern w:val="0"/>
                <w:sz w:val="18"/>
                <w:szCs w:val="18"/>
              </w:rPr>
              <w:t>企业获得省市县（市、区）建设行政主管部门或其它主管部门表彰表扬的</w:t>
            </w:r>
            <w:r>
              <w:rPr>
                <w:color w:val="000000"/>
                <w:spacing w:val="-4"/>
                <w:kern w:val="0"/>
                <w:sz w:val="18"/>
                <w:szCs w:val="18"/>
              </w:rPr>
              <w:t>,</w:t>
            </w:r>
            <w:r>
              <w:rPr>
                <w:rFonts w:hint="eastAsia" w:hAnsi="宋体"/>
                <w:color w:val="000000"/>
                <w:spacing w:val="-4"/>
                <w:kern w:val="0"/>
                <w:sz w:val="18"/>
                <w:szCs w:val="18"/>
              </w:rPr>
              <w:t>每次计加</w:t>
            </w:r>
            <w:r>
              <w:rPr>
                <w:color w:val="000000"/>
                <w:spacing w:val="-4"/>
                <w:kern w:val="0"/>
                <w:sz w:val="18"/>
                <w:szCs w:val="18"/>
              </w:rPr>
              <w:t>0.5</w:t>
            </w:r>
            <w:r>
              <w:rPr>
                <w:rFonts w:hint="eastAsia" w:hAnsi="宋体"/>
                <w:color w:val="000000"/>
                <w:spacing w:val="-4"/>
                <w:kern w:val="0"/>
                <w:sz w:val="18"/>
                <w:szCs w:val="18"/>
              </w:rPr>
              <w:t>分。</w:t>
            </w:r>
          </w:p>
        </w:tc>
        <w:tc>
          <w:tcPr>
            <w:tcW w:w="710" w:type="dxa"/>
            <w:vAlign w:val="center"/>
          </w:tcPr>
          <w:p>
            <w:pPr>
              <w:widowControl/>
              <w:spacing w:line="260" w:lineRule="exact"/>
              <w:ind w:left="-63" w:leftChars="-30" w:right="-63" w:rightChars="-30"/>
              <w:jc w:val="center"/>
              <w:rPr>
                <w:color w:val="000000"/>
                <w:spacing w:val="-4"/>
                <w:kern w:val="0"/>
                <w:sz w:val="18"/>
                <w:szCs w:val="18"/>
              </w:rPr>
            </w:pPr>
          </w:p>
        </w:tc>
        <w:tc>
          <w:tcPr>
            <w:tcW w:w="663" w:type="dxa"/>
            <w:vAlign w:val="center"/>
          </w:tcPr>
          <w:p>
            <w:pPr>
              <w:widowControl/>
              <w:spacing w:line="260" w:lineRule="exact"/>
              <w:ind w:left="-63" w:leftChars="-30" w:right="-63" w:rightChars="-30"/>
              <w:jc w:val="center"/>
              <w:rPr>
                <w:color w:val="000000"/>
                <w:spacing w:val="-4"/>
                <w:kern w:val="0"/>
                <w:sz w:val="18"/>
                <w:szCs w:val="18"/>
              </w:rPr>
            </w:pPr>
          </w:p>
        </w:tc>
        <w:tc>
          <w:tcPr>
            <w:tcW w:w="712" w:type="dxa"/>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1</w:t>
            </w:r>
          </w:p>
        </w:tc>
        <w:tc>
          <w:tcPr>
            <w:tcW w:w="713" w:type="dxa"/>
            <w:vAlign w:val="center"/>
          </w:tcPr>
          <w:p>
            <w:pPr>
              <w:widowControl/>
              <w:spacing w:line="260" w:lineRule="exact"/>
              <w:ind w:left="-63" w:leftChars="-30" w:right="-63" w:rightChars="-30"/>
              <w:jc w:val="center"/>
              <w:rPr>
                <w:color w:val="000000"/>
                <w:spacing w:val="-4"/>
                <w:kern w:val="0"/>
                <w:sz w:val="18"/>
                <w:szCs w:val="18"/>
              </w:rPr>
            </w:pPr>
          </w:p>
        </w:tc>
        <w:tc>
          <w:tcPr>
            <w:tcW w:w="3343" w:type="dxa"/>
            <w:vAlign w:val="center"/>
          </w:tcPr>
          <w:p>
            <w:pPr>
              <w:widowControl/>
              <w:spacing w:line="260" w:lineRule="exact"/>
              <w:ind w:left="-63" w:leftChars="-30" w:right="-63" w:rightChars="-30"/>
              <w:rPr>
                <w:color w:val="000000"/>
                <w:spacing w:val="-4"/>
                <w:kern w:val="0"/>
                <w:sz w:val="18"/>
                <w:szCs w:val="18"/>
              </w:rPr>
            </w:pPr>
            <w:r>
              <w:rPr>
                <w:rFonts w:hAnsi="宋体"/>
                <w:color w:val="000000"/>
                <w:spacing w:val="-4"/>
                <w:kern w:val="0"/>
                <w:sz w:val="18"/>
                <w:szCs w:val="18"/>
              </w:rPr>
              <w:t>1</w:t>
            </w:r>
            <w:r>
              <w:rPr>
                <w:rFonts w:hint="eastAsia" w:hAnsi="宋体"/>
                <w:color w:val="000000"/>
                <w:spacing w:val="-4"/>
                <w:kern w:val="0"/>
                <w:sz w:val="18"/>
                <w:szCs w:val="18"/>
              </w:rPr>
              <w:t>、企业提供由政府部门印发的有关表彰表扬带有文号的红头文件。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0" w:type="dxa"/>
            <w:vMerge w:val="restart"/>
            <w:noWrap/>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3</w:t>
            </w:r>
          </w:p>
        </w:tc>
        <w:tc>
          <w:tcPr>
            <w:tcW w:w="1545" w:type="dxa"/>
            <w:vMerge w:val="restart"/>
            <w:vAlign w:val="center"/>
          </w:tcPr>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造价管理机构</w:t>
            </w:r>
          </w:p>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表彰表扬</w:t>
            </w: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1</w:t>
            </w:r>
            <w:r>
              <w:rPr>
                <w:rFonts w:hint="eastAsia" w:hAnsi="宋体"/>
                <w:color w:val="000000"/>
                <w:spacing w:val="-4"/>
                <w:kern w:val="0"/>
                <w:sz w:val="18"/>
                <w:szCs w:val="18"/>
              </w:rPr>
              <w:t>、企业获得县（市、区）及以上造价管理机构表彰表扬的</w:t>
            </w:r>
            <w:r>
              <w:rPr>
                <w:color w:val="000000"/>
                <w:spacing w:val="-4"/>
                <w:kern w:val="0"/>
                <w:sz w:val="18"/>
                <w:szCs w:val="18"/>
              </w:rPr>
              <w:t>,</w:t>
            </w:r>
            <w:r>
              <w:rPr>
                <w:rFonts w:hint="eastAsia" w:hAnsi="宋体"/>
                <w:color w:val="000000"/>
                <w:spacing w:val="-4"/>
                <w:kern w:val="0"/>
                <w:sz w:val="18"/>
                <w:szCs w:val="18"/>
              </w:rPr>
              <w:t>每次计加</w:t>
            </w:r>
            <w:r>
              <w:rPr>
                <w:color w:val="000000"/>
                <w:spacing w:val="-4"/>
                <w:kern w:val="0"/>
                <w:sz w:val="18"/>
                <w:szCs w:val="18"/>
              </w:rPr>
              <w:t>0.5</w:t>
            </w:r>
            <w:r>
              <w:rPr>
                <w:rFonts w:hint="eastAsia" w:hAnsi="宋体"/>
                <w:color w:val="000000"/>
                <w:spacing w:val="-4"/>
                <w:kern w:val="0"/>
                <w:sz w:val="18"/>
                <w:szCs w:val="18"/>
              </w:rPr>
              <w:t>分。</w:t>
            </w:r>
          </w:p>
        </w:tc>
        <w:tc>
          <w:tcPr>
            <w:tcW w:w="710" w:type="dxa"/>
            <w:vAlign w:val="center"/>
          </w:tcPr>
          <w:p>
            <w:pPr>
              <w:widowControl/>
              <w:spacing w:line="260" w:lineRule="exact"/>
              <w:ind w:left="-63" w:leftChars="-30" w:right="-63" w:rightChars="-30"/>
              <w:jc w:val="center"/>
              <w:rPr>
                <w:color w:val="000000"/>
                <w:spacing w:val="-4"/>
                <w:kern w:val="0"/>
                <w:sz w:val="18"/>
                <w:szCs w:val="18"/>
              </w:rPr>
            </w:pPr>
          </w:p>
        </w:tc>
        <w:tc>
          <w:tcPr>
            <w:tcW w:w="663" w:type="dxa"/>
            <w:vAlign w:val="center"/>
          </w:tcPr>
          <w:p>
            <w:pPr>
              <w:widowControl/>
              <w:spacing w:line="260" w:lineRule="exact"/>
              <w:ind w:left="-63" w:leftChars="-30" w:right="-63" w:rightChars="-30"/>
              <w:jc w:val="center"/>
              <w:rPr>
                <w:color w:val="000000"/>
                <w:spacing w:val="-4"/>
                <w:kern w:val="0"/>
                <w:sz w:val="18"/>
                <w:szCs w:val="18"/>
              </w:rPr>
            </w:pPr>
          </w:p>
        </w:tc>
        <w:tc>
          <w:tcPr>
            <w:tcW w:w="712" w:type="dxa"/>
            <w:vMerge w:val="restart"/>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2</w:t>
            </w:r>
          </w:p>
        </w:tc>
        <w:tc>
          <w:tcPr>
            <w:tcW w:w="713" w:type="dxa"/>
            <w:vMerge w:val="restart"/>
            <w:vAlign w:val="center"/>
          </w:tcPr>
          <w:p>
            <w:pPr>
              <w:widowControl/>
              <w:spacing w:line="260" w:lineRule="exact"/>
              <w:ind w:left="-63" w:leftChars="-30" w:right="-63" w:rightChars="-30"/>
              <w:jc w:val="center"/>
              <w:rPr>
                <w:color w:val="000000"/>
                <w:spacing w:val="-4"/>
                <w:kern w:val="0"/>
                <w:sz w:val="18"/>
                <w:szCs w:val="18"/>
              </w:rPr>
            </w:pPr>
          </w:p>
        </w:tc>
        <w:tc>
          <w:tcPr>
            <w:tcW w:w="3343" w:type="dxa"/>
            <w:vMerge w:val="restart"/>
            <w:vAlign w:val="center"/>
          </w:tcPr>
          <w:p>
            <w:pPr>
              <w:widowControl/>
              <w:spacing w:line="260" w:lineRule="exact"/>
              <w:ind w:left="-63" w:leftChars="-30" w:right="-63" w:rightChars="-30"/>
              <w:rPr>
                <w:color w:val="000000"/>
                <w:spacing w:val="-4"/>
                <w:kern w:val="0"/>
                <w:sz w:val="18"/>
                <w:szCs w:val="18"/>
              </w:rPr>
            </w:pPr>
            <w:r>
              <w:rPr>
                <w:rFonts w:hAnsi="宋体"/>
                <w:color w:val="000000"/>
                <w:spacing w:val="-4"/>
                <w:kern w:val="0"/>
                <w:sz w:val="18"/>
                <w:szCs w:val="18"/>
              </w:rPr>
              <w:t>1</w:t>
            </w:r>
            <w:r>
              <w:rPr>
                <w:rFonts w:hint="eastAsia" w:hAnsi="宋体"/>
                <w:color w:val="000000"/>
                <w:spacing w:val="-4"/>
                <w:kern w:val="0"/>
                <w:sz w:val="18"/>
                <w:szCs w:val="18"/>
              </w:rPr>
              <w:t>、由企业提供由造价管理机构印发的有关表彰表扬带有文号的红头文件。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2</w:t>
            </w:r>
            <w:r>
              <w:rPr>
                <w:rFonts w:hint="eastAsia" w:hAnsi="宋体"/>
                <w:color w:val="000000"/>
                <w:spacing w:val="-4"/>
                <w:kern w:val="0"/>
                <w:sz w:val="18"/>
                <w:szCs w:val="18"/>
              </w:rPr>
              <w:t>、企业在省市工程造价管理“双随机”检查活动中，检查结果被定为“良好”的，每次计加</w:t>
            </w:r>
            <w:r>
              <w:rPr>
                <w:color w:val="000000"/>
                <w:spacing w:val="-4"/>
                <w:kern w:val="0"/>
                <w:sz w:val="18"/>
                <w:szCs w:val="18"/>
              </w:rPr>
              <w:t>0.2</w:t>
            </w:r>
            <w:r>
              <w:rPr>
                <w:rFonts w:hint="eastAsia" w:hAnsi="宋体"/>
                <w:color w:val="000000"/>
                <w:spacing w:val="-4"/>
                <w:kern w:val="0"/>
                <w:sz w:val="18"/>
                <w:szCs w:val="18"/>
              </w:rPr>
              <w:t>分。</w:t>
            </w:r>
          </w:p>
        </w:tc>
        <w:tc>
          <w:tcPr>
            <w:tcW w:w="710" w:type="dxa"/>
            <w:vAlign w:val="center"/>
          </w:tcPr>
          <w:p>
            <w:pPr>
              <w:widowControl/>
              <w:spacing w:line="260" w:lineRule="exact"/>
              <w:ind w:left="-63" w:leftChars="-30" w:right="-63" w:rightChars="-30"/>
              <w:jc w:val="center"/>
              <w:rPr>
                <w:color w:val="000000"/>
                <w:spacing w:val="-4"/>
                <w:kern w:val="0"/>
                <w:sz w:val="18"/>
                <w:szCs w:val="18"/>
              </w:rPr>
            </w:pPr>
          </w:p>
        </w:tc>
        <w:tc>
          <w:tcPr>
            <w:tcW w:w="663" w:type="dxa"/>
            <w:vAlign w:val="center"/>
          </w:tcPr>
          <w:p>
            <w:pPr>
              <w:widowControl/>
              <w:spacing w:line="260" w:lineRule="exact"/>
              <w:ind w:left="-63" w:leftChars="-30" w:right="-63" w:rightChars="-30"/>
              <w:jc w:val="center"/>
              <w:rPr>
                <w:color w:val="000000"/>
                <w:spacing w:val="-4"/>
                <w:kern w:val="0"/>
                <w:sz w:val="18"/>
                <w:szCs w:val="18"/>
              </w:rPr>
            </w:pPr>
          </w:p>
        </w:tc>
        <w:tc>
          <w:tcPr>
            <w:tcW w:w="712"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713"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343"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3</w:t>
            </w:r>
            <w:r>
              <w:rPr>
                <w:rFonts w:hint="eastAsia" w:hAnsi="宋体"/>
                <w:color w:val="000000"/>
                <w:spacing w:val="-4"/>
                <w:kern w:val="0"/>
                <w:sz w:val="18"/>
                <w:szCs w:val="18"/>
              </w:rPr>
              <w:t>、企业咨询项目填报工作受到省市造价站（处）通报表扬的，每次计加</w:t>
            </w:r>
            <w:r>
              <w:rPr>
                <w:color w:val="000000"/>
                <w:spacing w:val="-4"/>
                <w:kern w:val="0"/>
                <w:sz w:val="18"/>
                <w:szCs w:val="18"/>
              </w:rPr>
              <w:t>1</w:t>
            </w:r>
            <w:r>
              <w:rPr>
                <w:rFonts w:hint="eastAsia" w:hAnsi="宋体"/>
                <w:color w:val="000000"/>
                <w:spacing w:val="-4"/>
                <w:kern w:val="0"/>
                <w:sz w:val="18"/>
                <w:szCs w:val="18"/>
              </w:rPr>
              <w:t>分。</w:t>
            </w:r>
          </w:p>
        </w:tc>
        <w:tc>
          <w:tcPr>
            <w:tcW w:w="710" w:type="dxa"/>
            <w:vAlign w:val="center"/>
          </w:tcPr>
          <w:p>
            <w:pPr>
              <w:widowControl/>
              <w:spacing w:line="260" w:lineRule="exact"/>
              <w:ind w:left="-63" w:leftChars="-30" w:right="-63" w:rightChars="-30"/>
              <w:jc w:val="center"/>
              <w:rPr>
                <w:color w:val="000000"/>
                <w:spacing w:val="-4"/>
                <w:kern w:val="0"/>
                <w:sz w:val="18"/>
                <w:szCs w:val="18"/>
              </w:rPr>
            </w:pPr>
          </w:p>
        </w:tc>
        <w:tc>
          <w:tcPr>
            <w:tcW w:w="663" w:type="dxa"/>
            <w:vAlign w:val="center"/>
          </w:tcPr>
          <w:p>
            <w:pPr>
              <w:widowControl/>
              <w:spacing w:line="260" w:lineRule="exact"/>
              <w:ind w:left="-63" w:leftChars="-30" w:right="-63" w:rightChars="-30"/>
              <w:jc w:val="center"/>
              <w:rPr>
                <w:color w:val="000000"/>
                <w:spacing w:val="-4"/>
                <w:kern w:val="0"/>
                <w:sz w:val="18"/>
                <w:szCs w:val="18"/>
              </w:rPr>
            </w:pPr>
          </w:p>
        </w:tc>
        <w:tc>
          <w:tcPr>
            <w:tcW w:w="712"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713"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343"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vMerge w:val="restart"/>
            <w:noWrap/>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4</w:t>
            </w:r>
          </w:p>
        </w:tc>
        <w:tc>
          <w:tcPr>
            <w:tcW w:w="1545" w:type="dxa"/>
            <w:vMerge w:val="restart"/>
            <w:vAlign w:val="center"/>
          </w:tcPr>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企业党建特色</w:t>
            </w: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1</w:t>
            </w:r>
            <w:r>
              <w:rPr>
                <w:rFonts w:hint="eastAsia" w:hAnsi="宋体"/>
                <w:color w:val="000000"/>
                <w:spacing w:val="-4"/>
                <w:kern w:val="0"/>
                <w:sz w:val="18"/>
                <w:szCs w:val="18"/>
              </w:rPr>
              <w:t>、企业党组织健全，党建活动正常的，计加</w:t>
            </w:r>
            <w:r>
              <w:rPr>
                <w:color w:val="000000"/>
                <w:spacing w:val="-4"/>
                <w:kern w:val="0"/>
                <w:sz w:val="18"/>
                <w:szCs w:val="18"/>
              </w:rPr>
              <w:t>0.5</w:t>
            </w:r>
            <w:r>
              <w:rPr>
                <w:rFonts w:hint="eastAsia" w:hAnsi="宋体"/>
                <w:color w:val="000000"/>
                <w:spacing w:val="-4"/>
                <w:kern w:val="0"/>
                <w:sz w:val="18"/>
                <w:szCs w:val="18"/>
              </w:rPr>
              <w:t>分。</w:t>
            </w:r>
          </w:p>
        </w:tc>
        <w:tc>
          <w:tcPr>
            <w:tcW w:w="710" w:type="dxa"/>
            <w:vAlign w:val="center"/>
          </w:tcPr>
          <w:p>
            <w:pPr>
              <w:widowControl/>
              <w:spacing w:line="260" w:lineRule="exact"/>
              <w:ind w:left="-63" w:leftChars="-30" w:right="-63" w:rightChars="-30"/>
              <w:jc w:val="center"/>
              <w:rPr>
                <w:color w:val="000000"/>
                <w:spacing w:val="-4"/>
                <w:kern w:val="0"/>
                <w:sz w:val="18"/>
                <w:szCs w:val="18"/>
              </w:rPr>
            </w:pPr>
          </w:p>
        </w:tc>
        <w:tc>
          <w:tcPr>
            <w:tcW w:w="663" w:type="dxa"/>
            <w:vAlign w:val="center"/>
          </w:tcPr>
          <w:p>
            <w:pPr>
              <w:widowControl/>
              <w:spacing w:line="260" w:lineRule="exact"/>
              <w:ind w:left="-63" w:leftChars="-30" w:right="-63" w:rightChars="-30"/>
              <w:jc w:val="center"/>
              <w:rPr>
                <w:color w:val="000000"/>
                <w:spacing w:val="-4"/>
                <w:kern w:val="0"/>
                <w:sz w:val="18"/>
                <w:szCs w:val="18"/>
              </w:rPr>
            </w:pPr>
          </w:p>
        </w:tc>
        <w:tc>
          <w:tcPr>
            <w:tcW w:w="712" w:type="dxa"/>
            <w:vMerge w:val="restart"/>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2</w:t>
            </w:r>
          </w:p>
        </w:tc>
        <w:tc>
          <w:tcPr>
            <w:tcW w:w="713" w:type="dxa"/>
            <w:vMerge w:val="restart"/>
            <w:vAlign w:val="center"/>
          </w:tcPr>
          <w:p>
            <w:pPr>
              <w:widowControl/>
              <w:spacing w:line="260" w:lineRule="exact"/>
              <w:ind w:left="-63" w:leftChars="-30" w:right="-63" w:rightChars="-30"/>
              <w:jc w:val="center"/>
              <w:rPr>
                <w:color w:val="000000"/>
                <w:spacing w:val="-4"/>
                <w:kern w:val="0"/>
                <w:sz w:val="18"/>
                <w:szCs w:val="18"/>
              </w:rPr>
            </w:pPr>
          </w:p>
        </w:tc>
        <w:tc>
          <w:tcPr>
            <w:tcW w:w="3343" w:type="dxa"/>
            <w:vMerge w:val="restart"/>
            <w:vAlign w:val="center"/>
          </w:tcPr>
          <w:p>
            <w:pPr>
              <w:widowControl/>
              <w:spacing w:line="260" w:lineRule="exact"/>
              <w:ind w:left="-63" w:leftChars="-30" w:right="-63" w:rightChars="-30"/>
              <w:rPr>
                <w:color w:val="000000"/>
                <w:spacing w:val="-4"/>
                <w:kern w:val="0"/>
                <w:sz w:val="18"/>
                <w:szCs w:val="18"/>
              </w:rPr>
            </w:pPr>
            <w:r>
              <w:rPr>
                <w:rFonts w:hAnsi="宋体"/>
                <w:color w:val="000000"/>
                <w:spacing w:val="-4"/>
                <w:kern w:val="0"/>
                <w:sz w:val="18"/>
                <w:szCs w:val="18"/>
              </w:rPr>
              <w:t>1</w:t>
            </w:r>
            <w:r>
              <w:rPr>
                <w:rFonts w:hint="eastAsia" w:hAnsi="宋体"/>
                <w:color w:val="000000"/>
                <w:spacing w:val="-4"/>
                <w:kern w:val="0"/>
                <w:sz w:val="18"/>
                <w:szCs w:val="18"/>
              </w:rPr>
              <w:t>、企业党建特色证明性材料由企业提供，或由企业所在注册地有关党组织、造价管理机构、造价管理协会出证，由企业申请信用评价时自行通过信用评价系统上传。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2</w:t>
            </w:r>
            <w:r>
              <w:rPr>
                <w:rFonts w:hint="eastAsia" w:hAnsi="宋体"/>
                <w:color w:val="000000"/>
                <w:spacing w:val="-4"/>
                <w:kern w:val="0"/>
                <w:sz w:val="18"/>
                <w:szCs w:val="18"/>
              </w:rPr>
              <w:t>、企业党建活动受到上级党组织表彰或通报表扬的，每次计加</w:t>
            </w:r>
            <w:r>
              <w:rPr>
                <w:color w:val="000000"/>
                <w:spacing w:val="-4"/>
                <w:kern w:val="0"/>
                <w:sz w:val="18"/>
                <w:szCs w:val="18"/>
              </w:rPr>
              <w:t>0.5</w:t>
            </w:r>
            <w:r>
              <w:rPr>
                <w:rFonts w:hint="eastAsia" w:hAnsi="宋体"/>
                <w:color w:val="000000"/>
                <w:spacing w:val="-4"/>
                <w:kern w:val="0"/>
                <w:sz w:val="18"/>
                <w:szCs w:val="18"/>
              </w:rPr>
              <w:t>分。</w:t>
            </w:r>
          </w:p>
        </w:tc>
        <w:tc>
          <w:tcPr>
            <w:tcW w:w="710" w:type="dxa"/>
            <w:vAlign w:val="center"/>
          </w:tcPr>
          <w:p>
            <w:pPr>
              <w:widowControl/>
              <w:spacing w:line="260" w:lineRule="exact"/>
              <w:ind w:left="-63" w:leftChars="-30" w:right="-63" w:rightChars="-30"/>
              <w:jc w:val="center"/>
              <w:rPr>
                <w:color w:val="000000"/>
                <w:spacing w:val="-4"/>
                <w:kern w:val="0"/>
                <w:sz w:val="18"/>
                <w:szCs w:val="18"/>
              </w:rPr>
            </w:pPr>
          </w:p>
        </w:tc>
        <w:tc>
          <w:tcPr>
            <w:tcW w:w="663" w:type="dxa"/>
            <w:vAlign w:val="center"/>
          </w:tcPr>
          <w:p>
            <w:pPr>
              <w:widowControl/>
              <w:spacing w:line="260" w:lineRule="exact"/>
              <w:ind w:left="-63" w:leftChars="-30" w:right="-63" w:rightChars="-30"/>
              <w:jc w:val="center"/>
              <w:rPr>
                <w:color w:val="000000"/>
                <w:spacing w:val="-4"/>
                <w:kern w:val="0"/>
                <w:sz w:val="18"/>
                <w:szCs w:val="18"/>
              </w:rPr>
            </w:pPr>
          </w:p>
        </w:tc>
        <w:tc>
          <w:tcPr>
            <w:tcW w:w="712"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713"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343"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3</w:t>
            </w:r>
            <w:r>
              <w:rPr>
                <w:rFonts w:hint="eastAsia" w:hAnsi="宋体"/>
                <w:color w:val="000000"/>
                <w:spacing w:val="-4"/>
                <w:kern w:val="0"/>
                <w:sz w:val="18"/>
                <w:szCs w:val="18"/>
              </w:rPr>
              <w:t>、企业党员受到上级党组织表彰表扬的，每人次计加</w:t>
            </w:r>
            <w:r>
              <w:rPr>
                <w:color w:val="000000"/>
                <w:spacing w:val="-4"/>
                <w:kern w:val="0"/>
                <w:sz w:val="18"/>
                <w:szCs w:val="18"/>
              </w:rPr>
              <w:t>0.5</w:t>
            </w:r>
            <w:r>
              <w:rPr>
                <w:rFonts w:hint="eastAsia" w:hAnsi="宋体"/>
                <w:color w:val="000000"/>
                <w:spacing w:val="-4"/>
                <w:kern w:val="0"/>
                <w:sz w:val="18"/>
                <w:szCs w:val="18"/>
              </w:rPr>
              <w:t>分。</w:t>
            </w:r>
          </w:p>
        </w:tc>
        <w:tc>
          <w:tcPr>
            <w:tcW w:w="710" w:type="dxa"/>
            <w:vAlign w:val="center"/>
          </w:tcPr>
          <w:p>
            <w:pPr>
              <w:widowControl/>
              <w:spacing w:line="260" w:lineRule="exact"/>
              <w:ind w:left="-63" w:leftChars="-30" w:right="-63" w:rightChars="-30"/>
              <w:jc w:val="center"/>
              <w:rPr>
                <w:color w:val="000000"/>
                <w:spacing w:val="-4"/>
                <w:kern w:val="0"/>
                <w:sz w:val="18"/>
                <w:szCs w:val="18"/>
              </w:rPr>
            </w:pPr>
          </w:p>
        </w:tc>
        <w:tc>
          <w:tcPr>
            <w:tcW w:w="663" w:type="dxa"/>
            <w:vAlign w:val="center"/>
          </w:tcPr>
          <w:p>
            <w:pPr>
              <w:widowControl/>
              <w:spacing w:line="260" w:lineRule="exact"/>
              <w:ind w:left="-63" w:leftChars="-30" w:right="-63" w:rightChars="-30"/>
              <w:jc w:val="center"/>
              <w:rPr>
                <w:color w:val="000000"/>
                <w:spacing w:val="-4"/>
                <w:kern w:val="0"/>
                <w:sz w:val="18"/>
                <w:szCs w:val="18"/>
              </w:rPr>
            </w:pPr>
          </w:p>
        </w:tc>
        <w:tc>
          <w:tcPr>
            <w:tcW w:w="712"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713"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343"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0" w:type="dxa"/>
            <w:vMerge w:val="restart"/>
            <w:noWrap/>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5</w:t>
            </w:r>
          </w:p>
        </w:tc>
        <w:tc>
          <w:tcPr>
            <w:tcW w:w="1545" w:type="dxa"/>
            <w:vMerge w:val="restart"/>
            <w:vAlign w:val="center"/>
          </w:tcPr>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企业文化建设特色</w:t>
            </w: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1</w:t>
            </w:r>
            <w:r>
              <w:rPr>
                <w:rFonts w:hint="eastAsia" w:hAnsi="宋体"/>
                <w:color w:val="000000"/>
                <w:spacing w:val="-4"/>
                <w:kern w:val="0"/>
                <w:sz w:val="18"/>
                <w:szCs w:val="18"/>
              </w:rPr>
              <w:t>、企业应用“企业信息管理系统”或“咨询业务管理系统”提高管理效率，且运行正常，全员普及，计加</w:t>
            </w:r>
            <w:r>
              <w:rPr>
                <w:color w:val="000000"/>
                <w:spacing w:val="-4"/>
                <w:kern w:val="0"/>
                <w:sz w:val="18"/>
                <w:szCs w:val="18"/>
              </w:rPr>
              <w:t>0.5</w:t>
            </w:r>
            <w:r>
              <w:rPr>
                <w:rFonts w:hint="eastAsia" w:hAnsi="宋体"/>
                <w:color w:val="000000"/>
                <w:spacing w:val="-4"/>
                <w:kern w:val="0"/>
                <w:sz w:val="18"/>
                <w:szCs w:val="18"/>
              </w:rPr>
              <w:t>分。</w:t>
            </w:r>
          </w:p>
        </w:tc>
        <w:tc>
          <w:tcPr>
            <w:tcW w:w="710" w:type="dxa"/>
            <w:vAlign w:val="center"/>
          </w:tcPr>
          <w:p>
            <w:pPr>
              <w:widowControl/>
              <w:spacing w:line="260" w:lineRule="exact"/>
              <w:ind w:left="-63" w:leftChars="-30" w:right="-63" w:rightChars="-30"/>
              <w:jc w:val="center"/>
              <w:rPr>
                <w:color w:val="000000"/>
                <w:spacing w:val="-4"/>
                <w:kern w:val="0"/>
                <w:sz w:val="18"/>
                <w:szCs w:val="18"/>
              </w:rPr>
            </w:pPr>
          </w:p>
        </w:tc>
        <w:tc>
          <w:tcPr>
            <w:tcW w:w="663" w:type="dxa"/>
            <w:vAlign w:val="center"/>
          </w:tcPr>
          <w:p>
            <w:pPr>
              <w:widowControl/>
              <w:spacing w:line="260" w:lineRule="exact"/>
              <w:ind w:left="-63" w:leftChars="-30" w:right="-63" w:rightChars="-30"/>
              <w:jc w:val="center"/>
              <w:rPr>
                <w:color w:val="000000"/>
                <w:spacing w:val="-4"/>
                <w:kern w:val="0"/>
                <w:sz w:val="18"/>
                <w:szCs w:val="18"/>
              </w:rPr>
            </w:pPr>
          </w:p>
        </w:tc>
        <w:tc>
          <w:tcPr>
            <w:tcW w:w="712" w:type="dxa"/>
            <w:vMerge w:val="restart"/>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2</w:t>
            </w:r>
          </w:p>
        </w:tc>
        <w:tc>
          <w:tcPr>
            <w:tcW w:w="713" w:type="dxa"/>
            <w:vMerge w:val="restart"/>
            <w:vAlign w:val="center"/>
          </w:tcPr>
          <w:p>
            <w:pPr>
              <w:widowControl/>
              <w:spacing w:line="260" w:lineRule="exact"/>
              <w:ind w:left="-63" w:leftChars="-30" w:right="-63" w:rightChars="-30"/>
              <w:jc w:val="center"/>
              <w:rPr>
                <w:color w:val="000000"/>
                <w:spacing w:val="-4"/>
                <w:kern w:val="0"/>
                <w:sz w:val="18"/>
                <w:szCs w:val="18"/>
              </w:rPr>
            </w:pPr>
          </w:p>
        </w:tc>
        <w:tc>
          <w:tcPr>
            <w:tcW w:w="3343" w:type="dxa"/>
            <w:vMerge w:val="restart"/>
            <w:vAlign w:val="center"/>
          </w:tcPr>
          <w:p>
            <w:pPr>
              <w:widowControl/>
              <w:spacing w:line="260" w:lineRule="exact"/>
              <w:ind w:left="-63" w:leftChars="-30" w:right="-63" w:rightChars="-30"/>
              <w:rPr>
                <w:color w:val="000000"/>
                <w:spacing w:val="-4"/>
                <w:kern w:val="0"/>
                <w:sz w:val="18"/>
                <w:szCs w:val="18"/>
              </w:rPr>
            </w:pPr>
            <w:r>
              <w:rPr>
                <w:rFonts w:hAnsi="宋体"/>
                <w:color w:val="000000"/>
                <w:spacing w:val="-4"/>
                <w:kern w:val="0"/>
                <w:sz w:val="18"/>
                <w:szCs w:val="18"/>
              </w:rPr>
              <w:t>1</w:t>
            </w:r>
            <w:r>
              <w:rPr>
                <w:rFonts w:hint="eastAsia" w:hAnsi="宋体"/>
                <w:color w:val="000000"/>
                <w:spacing w:val="-4"/>
                <w:kern w:val="0"/>
                <w:sz w:val="18"/>
                <w:szCs w:val="18"/>
              </w:rPr>
              <w:t>、企业文化建设特色证明性材料由企业提供，或由企业所在注册地有关造价管理机构、造价管理协会出证，由企业申请信用评价时自行通过信用评价系统上传。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2</w:t>
            </w:r>
            <w:r>
              <w:rPr>
                <w:rFonts w:hint="eastAsia" w:hAnsi="宋体"/>
                <w:color w:val="000000"/>
                <w:spacing w:val="-4"/>
                <w:kern w:val="0"/>
                <w:sz w:val="18"/>
                <w:szCs w:val="18"/>
              </w:rPr>
              <w:t>、企业积极开展职工文化体育活动，在省市有关比赛中获得奖项和表彰的，计加</w:t>
            </w:r>
            <w:r>
              <w:rPr>
                <w:color w:val="000000"/>
                <w:spacing w:val="-4"/>
                <w:kern w:val="0"/>
                <w:sz w:val="18"/>
                <w:szCs w:val="18"/>
              </w:rPr>
              <w:t>0.5</w:t>
            </w:r>
            <w:r>
              <w:rPr>
                <w:rFonts w:hint="eastAsia" w:hAnsi="宋体"/>
                <w:color w:val="000000"/>
                <w:spacing w:val="-4"/>
                <w:kern w:val="0"/>
                <w:sz w:val="18"/>
                <w:szCs w:val="18"/>
              </w:rPr>
              <w:t>分。</w:t>
            </w:r>
          </w:p>
        </w:tc>
        <w:tc>
          <w:tcPr>
            <w:tcW w:w="710" w:type="dxa"/>
            <w:vAlign w:val="center"/>
          </w:tcPr>
          <w:p>
            <w:pPr>
              <w:widowControl/>
              <w:spacing w:line="260" w:lineRule="exact"/>
              <w:ind w:left="-63" w:leftChars="-30" w:right="-63" w:rightChars="-30"/>
              <w:jc w:val="center"/>
              <w:rPr>
                <w:color w:val="000000"/>
                <w:spacing w:val="-4"/>
                <w:kern w:val="0"/>
                <w:sz w:val="18"/>
                <w:szCs w:val="18"/>
              </w:rPr>
            </w:pPr>
          </w:p>
        </w:tc>
        <w:tc>
          <w:tcPr>
            <w:tcW w:w="663" w:type="dxa"/>
            <w:vAlign w:val="center"/>
          </w:tcPr>
          <w:p>
            <w:pPr>
              <w:widowControl/>
              <w:spacing w:line="260" w:lineRule="exact"/>
              <w:ind w:left="-63" w:leftChars="-30" w:right="-63" w:rightChars="-30"/>
              <w:jc w:val="center"/>
              <w:rPr>
                <w:color w:val="000000"/>
                <w:spacing w:val="-4"/>
                <w:kern w:val="0"/>
                <w:sz w:val="18"/>
                <w:szCs w:val="18"/>
              </w:rPr>
            </w:pPr>
          </w:p>
        </w:tc>
        <w:tc>
          <w:tcPr>
            <w:tcW w:w="712"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713"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343"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3</w:t>
            </w:r>
            <w:r>
              <w:rPr>
                <w:rFonts w:hint="eastAsia" w:hAnsi="宋体"/>
                <w:color w:val="000000"/>
                <w:spacing w:val="-4"/>
                <w:kern w:val="0"/>
                <w:sz w:val="18"/>
                <w:szCs w:val="18"/>
              </w:rPr>
              <w:t>、企业与本科院校、职业院校合作，冠名办班，助教培养造价人才，为教学提供实训基地，为学生提供实习条件的，计加</w:t>
            </w:r>
            <w:r>
              <w:rPr>
                <w:color w:val="000000"/>
                <w:spacing w:val="-4"/>
                <w:kern w:val="0"/>
                <w:sz w:val="18"/>
                <w:szCs w:val="18"/>
              </w:rPr>
              <w:t>0.5</w:t>
            </w:r>
            <w:r>
              <w:rPr>
                <w:rFonts w:hint="eastAsia" w:hAnsi="宋体"/>
                <w:color w:val="000000"/>
                <w:spacing w:val="-4"/>
                <w:kern w:val="0"/>
                <w:sz w:val="18"/>
                <w:szCs w:val="18"/>
              </w:rPr>
              <w:t>分。</w:t>
            </w:r>
          </w:p>
        </w:tc>
        <w:tc>
          <w:tcPr>
            <w:tcW w:w="710" w:type="dxa"/>
            <w:vAlign w:val="center"/>
          </w:tcPr>
          <w:p>
            <w:pPr>
              <w:widowControl/>
              <w:spacing w:line="260" w:lineRule="exact"/>
              <w:ind w:left="-63" w:leftChars="-30" w:right="-63" w:rightChars="-30"/>
              <w:jc w:val="center"/>
              <w:rPr>
                <w:color w:val="000000"/>
                <w:spacing w:val="-4"/>
                <w:kern w:val="0"/>
                <w:sz w:val="18"/>
                <w:szCs w:val="18"/>
              </w:rPr>
            </w:pPr>
          </w:p>
        </w:tc>
        <w:tc>
          <w:tcPr>
            <w:tcW w:w="663" w:type="dxa"/>
            <w:vAlign w:val="center"/>
          </w:tcPr>
          <w:p>
            <w:pPr>
              <w:widowControl/>
              <w:spacing w:line="260" w:lineRule="exact"/>
              <w:ind w:left="-63" w:leftChars="-30" w:right="-63" w:rightChars="-30"/>
              <w:jc w:val="center"/>
              <w:rPr>
                <w:color w:val="000000"/>
                <w:spacing w:val="-4"/>
                <w:kern w:val="0"/>
                <w:sz w:val="18"/>
                <w:szCs w:val="18"/>
              </w:rPr>
            </w:pPr>
          </w:p>
        </w:tc>
        <w:tc>
          <w:tcPr>
            <w:tcW w:w="712"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713"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343"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0" w:type="dxa"/>
            <w:vMerge w:val="continue"/>
            <w:tcBorders>
              <w:bottom w:val="single" w:color="auto" w:sz="8" w:space="0"/>
            </w:tcBorders>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tcBorders>
              <w:bottom w:val="single" w:color="auto" w:sz="8" w:space="0"/>
            </w:tcBorders>
            <w:vAlign w:val="center"/>
          </w:tcPr>
          <w:p>
            <w:pPr>
              <w:widowControl/>
              <w:spacing w:line="260" w:lineRule="exact"/>
              <w:ind w:left="-63" w:leftChars="-30" w:right="-63" w:rightChars="-30"/>
              <w:jc w:val="left"/>
              <w:rPr>
                <w:color w:val="000000"/>
                <w:spacing w:val="-4"/>
                <w:kern w:val="0"/>
                <w:sz w:val="18"/>
                <w:szCs w:val="18"/>
              </w:rPr>
            </w:pPr>
          </w:p>
        </w:tc>
        <w:tc>
          <w:tcPr>
            <w:tcW w:w="6194" w:type="dxa"/>
            <w:tcBorders>
              <w:bottom w:val="single" w:color="auto" w:sz="8" w:space="0"/>
            </w:tcBorders>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4</w:t>
            </w:r>
            <w:r>
              <w:rPr>
                <w:rFonts w:hint="eastAsia" w:hAnsi="宋体"/>
                <w:color w:val="000000"/>
                <w:spacing w:val="-4"/>
                <w:kern w:val="0"/>
                <w:sz w:val="18"/>
                <w:szCs w:val="18"/>
              </w:rPr>
              <w:t>、企业或企业组织员工长期开展助学、助残、助农等公益活动或扶贫、济困等慈善活动，促进精神文明建设的，计加</w:t>
            </w:r>
            <w:r>
              <w:rPr>
                <w:color w:val="000000"/>
                <w:spacing w:val="-4"/>
                <w:kern w:val="0"/>
                <w:sz w:val="18"/>
                <w:szCs w:val="18"/>
              </w:rPr>
              <w:t>0.5</w:t>
            </w:r>
            <w:r>
              <w:rPr>
                <w:rFonts w:hint="eastAsia" w:hAnsi="宋体"/>
                <w:color w:val="000000"/>
                <w:spacing w:val="-4"/>
                <w:kern w:val="0"/>
                <w:sz w:val="18"/>
                <w:szCs w:val="18"/>
              </w:rPr>
              <w:t>分。</w:t>
            </w:r>
          </w:p>
        </w:tc>
        <w:tc>
          <w:tcPr>
            <w:tcW w:w="710" w:type="dxa"/>
            <w:tcBorders>
              <w:bottom w:val="single" w:color="auto" w:sz="8" w:space="0"/>
            </w:tcBorders>
            <w:vAlign w:val="center"/>
          </w:tcPr>
          <w:p>
            <w:pPr>
              <w:widowControl/>
              <w:spacing w:line="260" w:lineRule="exact"/>
              <w:ind w:left="-63" w:leftChars="-30" w:right="-63" w:rightChars="-30"/>
              <w:jc w:val="center"/>
              <w:rPr>
                <w:color w:val="000000"/>
                <w:spacing w:val="-4"/>
                <w:kern w:val="0"/>
                <w:sz w:val="18"/>
                <w:szCs w:val="18"/>
              </w:rPr>
            </w:pPr>
          </w:p>
        </w:tc>
        <w:tc>
          <w:tcPr>
            <w:tcW w:w="663" w:type="dxa"/>
            <w:tcBorders>
              <w:bottom w:val="single" w:color="auto" w:sz="8" w:space="0"/>
            </w:tcBorders>
            <w:vAlign w:val="center"/>
          </w:tcPr>
          <w:p>
            <w:pPr>
              <w:widowControl/>
              <w:spacing w:line="260" w:lineRule="exact"/>
              <w:ind w:left="-63" w:leftChars="-30" w:right="-63" w:rightChars="-30"/>
              <w:jc w:val="center"/>
              <w:rPr>
                <w:color w:val="000000"/>
                <w:spacing w:val="-4"/>
                <w:kern w:val="0"/>
                <w:sz w:val="18"/>
                <w:szCs w:val="18"/>
              </w:rPr>
            </w:pPr>
          </w:p>
        </w:tc>
        <w:tc>
          <w:tcPr>
            <w:tcW w:w="712" w:type="dxa"/>
            <w:vMerge w:val="continue"/>
            <w:tcBorders>
              <w:bottom w:val="single" w:color="auto" w:sz="8" w:space="0"/>
            </w:tcBorders>
            <w:vAlign w:val="center"/>
          </w:tcPr>
          <w:p>
            <w:pPr>
              <w:widowControl/>
              <w:spacing w:line="260" w:lineRule="exact"/>
              <w:ind w:left="-63" w:leftChars="-30" w:right="-63" w:rightChars="-30"/>
              <w:jc w:val="center"/>
              <w:rPr>
                <w:color w:val="000000"/>
                <w:spacing w:val="-4"/>
                <w:kern w:val="0"/>
                <w:sz w:val="18"/>
                <w:szCs w:val="18"/>
              </w:rPr>
            </w:pPr>
          </w:p>
        </w:tc>
        <w:tc>
          <w:tcPr>
            <w:tcW w:w="713" w:type="dxa"/>
            <w:vMerge w:val="continue"/>
            <w:tcBorders>
              <w:bottom w:val="single" w:color="auto" w:sz="8" w:space="0"/>
            </w:tcBorders>
            <w:vAlign w:val="center"/>
          </w:tcPr>
          <w:p>
            <w:pPr>
              <w:widowControl/>
              <w:spacing w:line="260" w:lineRule="exact"/>
              <w:ind w:left="-63" w:leftChars="-30" w:right="-63" w:rightChars="-30"/>
              <w:jc w:val="center"/>
              <w:rPr>
                <w:color w:val="000000"/>
                <w:spacing w:val="-4"/>
                <w:kern w:val="0"/>
                <w:sz w:val="18"/>
                <w:szCs w:val="18"/>
              </w:rPr>
            </w:pPr>
          </w:p>
        </w:tc>
        <w:tc>
          <w:tcPr>
            <w:tcW w:w="3343" w:type="dxa"/>
            <w:vMerge w:val="continue"/>
            <w:tcBorders>
              <w:bottom w:val="single" w:color="auto" w:sz="8" w:space="0"/>
            </w:tcBorders>
            <w:vAlign w:val="center"/>
          </w:tcPr>
          <w:p>
            <w:pPr>
              <w:widowControl/>
              <w:spacing w:line="260" w:lineRule="exact"/>
              <w:ind w:left="-63" w:leftChars="-30" w:right="-63" w:rightChars="-30"/>
              <w:rPr>
                <w:color w:val="000000"/>
                <w:spacing w:val="-4"/>
                <w:kern w:val="0"/>
                <w:sz w:val="18"/>
                <w:szCs w:val="18"/>
              </w:rPr>
            </w:pPr>
          </w:p>
        </w:tc>
      </w:tr>
    </w:tbl>
    <w:p>
      <w:pPr>
        <w:rPr>
          <w:color w:val="000000"/>
        </w:rPr>
      </w:pPr>
    </w:p>
    <w:tbl>
      <w:tblPr>
        <w:tblStyle w:val="7"/>
        <w:tblW w:w="14652" w:type="dxa"/>
        <w:tblInd w:w="9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45"/>
        <w:gridCol w:w="6194"/>
        <w:gridCol w:w="720"/>
        <w:gridCol w:w="665"/>
        <w:gridCol w:w="759"/>
        <w:gridCol w:w="654"/>
        <w:gridCol w:w="35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0" w:type="dxa"/>
            <w:vMerge w:val="restart"/>
            <w:tcBorders>
              <w:top w:val="single" w:color="auto" w:sz="8" w:space="0"/>
            </w:tcBorders>
            <w:noWrap/>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序号</w:t>
            </w:r>
          </w:p>
        </w:tc>
        <w:tc>
          <w:tcPr>
            <w:tcW w:w="1545" w:type="dxa"/>
            <w:vMerge w:val="restart"/>
            <w:tcBorders>
              <w:top w:val="single" w:color="auto" w:sz="8" w:space="0"/>
            </w:tcBorders>
            <w:noWrap/>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评价内容</w:t>
            </w:r>
          </w:p>
        </w:tc>
        <w:tc>
          <w:tcPr>
            <w:tcW w:w="6194" w:type="dxa"/>
            <w:vMerge w:val="restart"/>
            <w:tcBorders>
              <w:top w:val="single" w:color="auto" w:sz="8" w:space="0"/>
            </w:tcBorders>
            <w:noWrap/>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良好行为评分细则</w:t>
            </w:r>
          </w:p>
        </w:tc>
        <w:tc>
          <w:tcPr>
            <w:tcW w:w="2798" w:type="dxa"/>
            <w:gridSpan w:val="4"/>
            <w:tcBorders>
              <w:top w:val="single" w:color="auto" w:sz="8" w:space="0"/>
            </w:tcBorders>
            <w:noWrap/>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评价加分</w:t>
            </w:r>
          </w:p>
        </w:tc>
        <w:tc>
          <w:tcPr>
            <w:tcW w:w="3515" w:type="dxa"/>
            <w:vMerge w:val="restart"/>
            <w:tcBorders>
              <w:top w:val="single" w:color="auto" w:sz="8" w:space="0"/>
            </w:tcBorders>
            <w:noWrap/>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信息采集来源和资料提供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0" w:type="dxa"/>
            <w:vMerge w:val="continue"/>
            <w:vAlign w:val="center"/>
          </w:tcPr>
          <w:p>
            <w:pPr>
              <w:widowControl/>
              <w:spacing w:line="260" w:lineRule="exact"/>
              <w:ind w:left="-63" w:leftChars="-30" w:right="-63" w:rightChars="-30"/>
              <w:jc w:val="center"/>
              <w:rPr>
                <w:rFonts w:eastAsia="方正黑体_GBK"/>
                <w:color w:val="000000"/>
                <w:spacing w:val="-4"/>
                <w:kern w:val="0"/>
                <w:sz w:val="18"/>
                <w:szCs w:val="18"/>
              </w:rPr>
            </w:pPr>
          </w:p>
        </w:tc>
        <w:tc>
          <w:tcPr>
            <w:tcW w:w="1545" w:type="dxa"/>
            <w:vMerge w:val="continue"/>
            <w:vAlign w:val="center"/>
          </w:tcPr>
          <w:p>
            <w:pPr>
              <w:widowControl/>
              <w:spacing w:line="260" w:lineRule="exact"/>
              <w:ind w:left="-63" w:leftChars="-30" w:right="-63" w:rightChars="-30"/>
              <w:jc w:val="center"/>
              <w:rPr>
                <w:rFonts w:eastAsia="方正黑体_GBK"/>
                <w:color w:val="000000"/>
                <w:spacing w:val="-4"/>
                <w:kern w:val="0"/>
                <w:sz w:val="18"/>
                <w:szCs w:val="18"/>
              </w:rPr>
            </w:pPr>
          </w:p>
        </w:tc>
        <w:tc>
          <w:tcPr>
            <w:tcW w:w="6194" w:type="dxa"/>
            <w:vMerge w:val="continue"/>
            <w:vAlign w:val="center"/>
          </w:tcPr>
          <w:p>
            <w:pPr>
              <w:widowControl/>
              <w:spacing w:line="260" w:lineRule="exact"/>
              <w:ind w:left="-63" w:leftChars="-30" w:right="-63" w:rightChars="-30"/>
              <w:jc w:val="center"/>
              <w:rPr>
                <w:rFonts w:eastAsia="方正黑体_GBK"/>
                <w:color w:val="000000"/>
                <w:spacing w:val="-4"/>
                <w:kern w:val="0"/>
                <w:sz w:val="18"/>
                <w:szCs w:val="18"/>
              </w:rPr>
            </w:pPr>
          </w:p>
        </w:tc>
        <w:tc>
          <w:tcPr>
            <w:tcW w:w="720" w:type="dxa"/>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加分</w:t>
            </w:r>
          </w:p>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选项</w:t>
            </w:r>
          </w:p>
        </w:tc>
        <w:tc>
          <w:tcPr>
            <w:tcW w:w="665" w:type="dxa"/>
            <w:vAlign w:val="center"/>
          </w:tcPr>
          <w:p>
            <w:pPr>
              <w:widowControl/>
              <w:spacing w:line="260" w:lineRule="exact"/>
              <w:ind w:left="-63" w:leftChars="-30" w:right="-63" w:rightChars="-30"/>
              <w:jc w:val="center"/>
              <w:rPr>
                <w:rFonts w:hint="default" w:eastAsia="方正黑体_GBK"/>
                <w:color w:val="000000"/>
                <w:spacing w:val="-4"/>
                <w:kern w:val="0"/>
                <w:sz w:val="18"/>
                <w:szCs w:val="18"/>
                <w:lang w:val="en-US" w:eastAsia="zh-CN"/>
              </w:rPr>
            </w:pPr>
            <w:r>
              <w:rPr>
                <w:rFonts w:hint="eastAsia" w:eastAsia="方正黑体_GBK"/>
                <w:color w:val="000000"/>
                <w:spacing w:val="-4"/>
                <w:kern w:val="0"/>
                <w:sz w:val="18"/>
                <w:szCs w:val="18"/>
                <w:lang w:val="en-US" w:eastAsia="zh-CN"/>
              </w:rPr>
              <w:t>加分 分值</w:t>
            </w:r>
          </w:p>
        </w:tc>
        <w:tc>
          <w:tcPr>
            <w:tcW w:w="759" w:type="dxa"/>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加分</w:t>
            </w:r>
          </w:p>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限额</w:t>
            </w:r>
          </w:p>
        </w:tc>
        <w:tc>
          <w:tcPr>
            <w:tcW w:w="654" w:type="dxa"/>
            <w:vAlign w:val="center"/>
          </w:tcPr>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评价</w:t>
            </w:r>
          </w:p>
          <w:p>
            <w:pPr>
              <w:widowControl/>
              <w:spacing w:line="260" w:lineRule="exact"/>
              <w:ind w:left="-63" w:leftChars="-30" w:right="-63" w:rightChars="-30"/>
              <w:jc w:val="center"/>
              <w:rPr>
                <w:rFonts w:eastAsia="方正黑体_GBK"/>
                <w:color w:val="000000"/>
                <w:spacing w:val="-4"/>
                <w:kern w:val="0"/>
                <w:sz w:val="18"/>
                <w:szCs w:val="18"/>
              </w:rPr>
            </w:pPr>
            <w:r>
              <w:rPr>
                <w:rFonts w:hint="eastAsia" w:eastAsia="方正黑体_GBK"/>
                <w:color w:val="000000"/>
                <w:spacing w:val="-4"/>
                <w:kern w:val="0"/>
                <w:sz w:val="18"/>
                <w:szCs w:val="18"/>
              </w:rPr>
              <w:t>得分</w:t>
            </w:r>
          </w:p>
        </w:tc>
        <w:tc>
          <w:tcPr>
            <w:tcW w:w="3515" w:type="dxa"/>
            <w:vMerge w:val="continue"/>
            <w:vAlign w:val="center"/>
          </w:tcPr>
          <w:p>
            <w:pPr>
              <w:widowControl/>
              <w:spacing w:line="260" w:lineRule="exact"/>
              <w:ind w:left="-63" w:leftChars="-30" w:right="-63" w:rightChars="-30"/>
              <w:jc w:val="center"/>
              <w:rPr>
                <w:rFonts w:eastAsia="方正黑体_GBK"/>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vMerge w:val="restart"/>
            <w:noWrap/>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6</w:t>
            </w:r>
          </w:p>
        </w:tc>
        <w:tc>
          <w:tcPr>
            <w:tcW w:w="1545" w:type="dxa"/>
            <w:vMerge w:val="restart"/>
            <w:vAlign w:val="center"/>
          </w:tcPr>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技能竞赛获奖</w:t>
            </w: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1</w:t>
            </w:r>
            <w:r>
              <w:rPr>
                <w:rFonts w:hint="eastAsia" w:hAnsi="宋体"/>
                <w:color w:val="000000"/>
                <w:spacing w:val="-4"/>
                <w:kern w:val="0"/>
                <w:sz w:val="18"/>
                <w:szCs w:val="18"/>
              </w:rPr>
              <w:t>、企业员工参加市级主管部门或行业协会组织的各类造价业务技能竞赛获得名次和奖项的，按企业获奖选手的人数每人计加</w:t>
            </w:r>
            <w:r>
              <w:rPr>
                <w:color w:val="000000"/>
                <w:spacing w:val="-4"/>
                <w:kern w:val="0"/>
                <w:sz w:val="18"/>
                <w:szCs w:val="18"/>
              </w:rPr>
              <w:t>1</w:t>
            </w:r>
            <w:r>
              <w:rPr>
                <w:rFonts w:hint="eastAsia" w:hAnsi="宋体"/>
                <w:color w:val="000000"/>
                <w:spacing w:val="-4"/>
                <w:kern w:val="0"/>
                <w:sz w:val="18"/>
                <w:szCs w:val="18"/>
              </w:rPr>
              <w:t>分。</w:t>
            </w:r>
          </w:p>
        </w:tc>
        <w:tc>
          <w:tcPr>
            <w:tcW w:w="720" w:type="dxa"/>
            <w:vAlign w:val="center"/>
          </w:tcPr>
          <w:p>
            <w:pPr>
              <w:widowControl/>
              <w:spacing w:line="260" w:lineRule="exact"/>
              <w:ind w:left="-63" w:leftChars="-30" w:right="-63" w:rightChars="-30"/>
              <w:jc w:val="center"/>
              <w:rPr>
                <w:color w:val="000000"/>
                <w:spacing w:val="-4"/>
                <w:kern w:val="0"/>
                <w:sz w:val="18"/>
                <w:szCs w:val="18"/>
              </w:rPr>
            </w:pPr>
          </w:p>
        </w:tc>
        <w:tc>
          <w:tcPr>
            <w:tcW w:w="665" w:type="dxa"/>
            <w:vAlign w:val="center"/>
          </w:tcPr>
          <w:p>
            <w:pPr>
              <w:widowControl/>
              <w:spacing w:line="260" w:lineRule="exact"/>
              <w:ind w:left="-63" w:leftChars="-30" w:right="-63" w:rightChars="-30"/>
              <w:jc w:val="center"/>
              <w:rPr>
                <w:color w:val="000000"/>
                <w:spacing w:val="-4"/>
                <w:kern w:val="0"/>
                <w:sz w:val="18"/>
                <w:szCs w:val="18"/>
              </w:rPr>
            </w:pPr>
          </w:p>
        </w:tc>
        <w:tc>
          <w:tcPr>
            <w:tcW w:w="759" w:type="dxa"/>
            <w:vMerge w:val="restart"/>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2</w:t>
            </w:r>
          </w:p>
        </w:tc>
        <w:tc>
          <w:tcPr>
            <w:tcW w:w="654" w:type="dxa"/>
            <w:vMerge w:val="restart"/>
            <w:vAlign w:val="center"/>
          </w:tcPr>
          <w:p>
            <w:pPr>
              <w:widowControl/>
              <w:spacing w:line="260" w:lineRule="exact"/>
              <w:ind w:left="-63" w:leftChars="-30" w:right="-63" w:rightChars="-30"/>
              <w:jc w:val="center"/>
              <w:rPr>
                <w:color w:val="000000"/>
                <w:spacing w:val="-4"/>
                <w:kern w:val="0"/>
                <w:sz w:val="18"/>
                <w:szCs w:val="18"/>
              </w:rPr>
            </w:pPr>
          </w:p>
        </w:tc>
        <w:tc>
          <w:tcPr>
            <w:tcW w:w="3515" w:type="dxa"/>
            <w:vMerge w:val="restart"/>
            <w:vAlign w:val="center"/>
          </w:tcPr>
          <w:p>
            <w:pPr>
              <w:widowControl/>
              <w:spacing w:line="260" w:lineRule="exact"/>
              <w:ind w:left="-63" w:leftChars="-30" w:right="-63" w:rightChars="-30"/>
              <w:rPr>
                <w:color w:val="000000"/>
                <w:spacing w:val="-4"/>
                <w:kern w:val="0"/>
                <w:sz w:val="18"/>
                <w:szCs w:val="18"/>
              </w:rPr>
            </w:pPr>
            <w:r>
              <w:rPr>
                <w:rFonts w:hAnsi="宋体"/>
                <w:color w:val="000000"/>
                <w:spacing w:val="-4"/>
                <w:kern w:val="0"/>
                <w:sz w:val="18"/>
                <w:szCs w:val="18"/>
              </w:rPr>
              <w:t>1</w:t>
            </w:r>
            <w:r>
              <w:rPr>
                <w:rFonts w:hint="eastAsia" w:hAnsi="宋体"/>
                <w:color w:val="000000"/>
                <w:spacing w:val="-4"/>
                <w:kern w:val="0"/>
                <w:sz w:val="18"/>
                <w:szCs w:val="18"/>
              </w:rPr>
              <w:t>、技能竞赛获奖证明性材料由企业提供，或由企业所在注册地有关造价管理机构、造价管理协会出证，由企业申请信用评价时自行通过信用评价系统上传。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2</w:t>
            </w:r>
            <w:r>
              <w:rPr>
                <w:rFonts w:hint="eastAsia" w:hAnsi="宋体"/>
                <w:color w:val="000000"/>
                <w:spacing w:val="-4"/>
                <w:kern w:val="0"/>
                <w:sz w:val="18"/>
                <w:szCs w:val="18"/>
              </w:rPr>
              <w:t>、企业员工参加省级主管部门或行业协会组织的各类造价业务技能竞赛获得名次和奖项的，按企业获奖选手的人数每人计加</w:t>
            </w:r>
            <w:r>
              <w:rPr>
                <w:color w:val="000000"/>
                <w:spacing w:val="-4"/>
                <w:kern w:val="0"/>
                <w:sz w:val="18"/>
                <w:szCs w:val="18"/>
              </w:rPr>
              <w:t>1</w:t>
            </w:r>
            <w:r>
              <w:rPr>
                <w:rFonts w:hint="eastAsia" w:hAnsi="宋体"/>
                <w:color w:val="000000"/>
                <w:spacing w:val="-4"/>
                <w:kern w:val="0"/>
                <w:sz w:val="18"/>
                <w:szCs w:val="18"/>
              </w:rPr>
              <w:t>分。</w:t>
            </w:r>
          </w:p>
        </w:tc>
        <w:tc>
          <w:tcPr>
            <w:tcW w:w="720" w:type="dxa"/>
            <w:vAlign w:val="center"/>
          </w:tcPr>
          <w:p>
            <w:pPr>
              <w:widowControl/>
              <w:spacing w:line="260" w:lineRule="exact"/>
              <w:ind w:left="-63" w:leftChars="-30" w:right="-63" w:rightChars="-30"/>
              <w:jc w:val="center"/>
              <w:rPr>
                <w:color w:val="000000"/>
                <w:spacing w:val="-4"/>
                <w:kern w:val="0"/>
                <w:sz w:val="18"/>
                <w:szCs w:val="18"/>
              </w:rPr>
            </w:pPr>
          </w:p>
        </w:tc>
        <w:tc>
          <w:tcPr>
            <w:tcW w:w="665" w:type="dxa"/>
            <w:vAlign w:val="center"/>
          </w:tcPr>
          <w:p>
            <w:pPr>
              <w:widowControl/>
              <w:spacing w:line="260" w:lineRule="exact"/>
              <w:ind w:left="-63" w:leftChars="-30" w:right="-63" w:rightChars="-30"/>
              <w:jc w:val="center"/>
              <w:rPr>
                <w:color w:val="000000"/>
                <w:spacing w:val="-4"/>
                <w:kern w:val="0"/>
                <w:sz w:val="18"/>
                <w:szCs w:val="18"/>
              </w:rPr>
            </w:pPr>
          </w:p>
        </w:tc>
        <w:tc>
          <w:tcPr>
            <w:tcW w:w="759"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654"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515"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vMerge w:val="restart"/>
            <w:noWrap/>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7</w:t>
            </w:r>
          </w:p>
        </w:tc>
        <w:tc>
          <w:tcPr>
            <w:tcW w:w="1545" w:type="dxa"/>
            <w:vMerge w:val="restart"/>
            <w:vAlign w:val="center"/>
          </w:tcPr>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学术活动获奖</w:t>
            </w: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1</w:t>
            </w:r>
            <w:r>
              <w:rPr>
                <w:rFonts w:hint="eastAsia" w:hAnsi="宋体"/>
                <w:color w:val="000000"/>
                <w:spacing w:val="-4"/>
                <w:kern w:val="0"/>
                <w:sz w:val="18"/>
                <w:szCs w:val="18"/>
              </w:rPr>
              <w:t>、企业或企业员工在省市级杂志及以上级别杂志发表造价管理类文章的，按发表的篇数每篇计加</w:t>
            </w:r>
            <w:r>
              <w:rPr>
                <w:color w:val="000000"/>
                <w:spacing w:val="-4"/>
                <w:kern w:val="0"/>
                <w:sz w:val="18"/>
                <w:szCs w:val="18"/>
              </w:rPr>
              <w:t>0.5</w:t>
            </w:r>
            <w:r>
              <w:rPr>
                <w:rFonts w:hint="eastAsia" w:hAnsi="宋体"/>
                <w:color w:val="000000"/>
                <w:spacing w:val="-4"/>
                <w:kern w:val="0"/>
                <w:sz w:val="18"/>
                <w:szCs w:val="18"/>
              </w:rPr>
              <w:t>分。</w:t>
            </w:r>
          </w:p>
        </w:tc>
        <w:tc>
          <w:tcPr>
            <w:tcW w:w="720" w:type="dxa"/>
            <w:vAlign w:val="center"/>
          </w:tcPr>
          <w:p>
            <w:pPr>
              <w:widowControl/>
              <w:spacing w:line="260" w:lineRule="exact"/>
              <w:ind w:left="-63" w:leftChars="-30" w:right="-63" w:rightChars="-30"/>
              <w:jc w:val="center"/>
              <w:rPr>
                <w:color w:val="000000"/>
                <w:spacing w:val="-4"/>
                <w:kern w:val="0"/>
                <w:sz w:val="18"/>
                <w:szCs w:val="18"/>
              </w:rPr>
            </w:pPr>
          </w:p>
        </w:tc>
        <w:tc>
          <w:tcPr>
            <w:tcW w:w="665" w:type="dxa"/>
            <w:vAlign w:val="center"/>
          </w:tcPr>
          <w:p>
            <w:pPr>
              <w:widowControl/>
              <w:spacing w:line="260" w:lineRule="exact"/>
              <w:ind w:left="-63" w:leftChars="-30" w:right="-63" w:rightChars="-30"/>
              <w:jc w:val="center"/>
              <w:rPr>
                <w:color w:val="000000"/>
                <w:spacing w:val="-4"/>
                <w:kern w:val="0"/>
                <w:sz w:val="18"/>
                <w:szCs w:val="18"/>
              </w:rPr>
            </w:pPr>
          </w:p>
        </w:tc>
        <w:tc>
          <w:tcPr>
            <w:tcW w:w="759" w:type="dxa"/>
            <w:vMerge w:val="restart"/>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2</w:t>
            </w:r>
          </w:p>
        </w:tc>
        <w:tc>
          <w:tcPr>
            <w:tcW w:w="654" w:type="dxa"/>
            <w:vMerge w:val="restart"/>
            <w:vAlign w:val="center"/>
          </w:tcPr>
          <w:p>
            <w:pPr>
              <w:widowControl/>
              <w:spacing w:line="260" w:lineRule="exact"/>
              <w:ind w:left="-63" w:leftChars="-30" w:right="-63" w:rightChars="-30"/>
              <w:jc w:val="center"/>
              <w:rPr>
                <w:color w:val="000000"/>
                <w:spacing w:val="-4"/>
                <w:kern w:val="0"/>
                <w:sz w:val="18"/>
                <w:szCs w:val="18"/>
              </w:rPr>
            </w:pPr>
          </w:p>
        </w:tc>
        <w:tc>
          <w:tcPr>
            <w:tcW w:w="3515" w:type="dxa"/>
            <w:vMerge w:val="restart"/>
            <w:vAlign w:val="center"/>
          </w:tcPr>
          <w:p>
            <w:pPr>
              <w:widowControl/>
              <w:spacing w:line="260" w:lineRule="exact"/>
              <w:ind w:left="-63" w:leftChars="-30" w:right="-63" w:rightChars="-30"/>
              <w:rPr>
                <w:color w:val="000000"/>
                <w:spacing w:val="-4"/>
                <w:kern w:val="0"/>
                <w:sz w:val="18"/>
                <w:szCs w:val="18"/>
              </w:rPr>
            </w:pPr>
            <w:r>
              <w:rPr>
                <w:rFonts w:hAnsi="宋体"/>
                <w:color w:val="000000"/>
                <w:spacing w:val="-4"/>
                <w:kern w:val="0"/>
                <w:sz w:val="18"/>
                <w:szCs w:val="18"/>
              </w:rPr>
              <w:t>1</w:t>
            </w:r>
            <w:r>
              <w:rPr>
                <w:rFonts w:hint="eastAsia" w:hAnsi="宋体"/>
                <w:color w:val="000000"/>
                <w:spacing w:val="-4"/>
                <w:kern w:val="0"/>
                <w:sz w:val="18"/>
                <w:szCs w:val="18"/>
              </w:rPr>
              <w:t>、学术活动获奖证明性材料由企业提供，或由企业所在注册地有关造价管理机构、造价管理协会出证，由企业申请信用评价时自行通过信用评价系统上传。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2</w:t>
            </w:r>
            <w:r>
              <w:rPr>
                <w:rFonts w:hint="eastAsia" w:hAnsi="宋体"/>
                <w:color w:val="000000"/>
                <w:spacing w:val="-4"/>
                <w:kern w:val="0"/>
                <w:sz w:val="18"/>
                <w:szCs w:val="18"/>
              </w:rPr>
              <w:t>、</w:t>
            </w:r>
            <w:r>
              <w:rPr>
                <w:rFonts w:hint="eastAsia" w:hAnsi="宋体"/>
                <w:color w:val="000000"/>
                <w:spacing w:val="-8"/>
                <w:kern w:val="0"/>
                <w:sz w:val="18"/>
                <w:szCs w:val="18"/>
              </w:rPr>
              <w:t>企业或企业员工参加省市造价管理机构或造价管理协会组织的论文和案例征集活动，被评为“优秀论文”“典型案例”入选汇编的，按入选汇篇数每篇计加</w:t>
            </w:r>
            <w:r>
              <w:rPr>
                <w:color w:val="000000"/>
                <w:spacing w:val="-8"/>
                <w:kern w:val="0"/>
                <w:sz w:val="18"/>
                <w:szCs w:val="18"/>
              </w:rPr>
              <w:t>0.5</w:t>
            </w:r>
            <w:r>
              <w:rPr>
                <w:rFonts w:hint="eastAsia" w:hAnsi="宋体"/>
                <w:color w:val="000000"/>
                <w:spacing w:val="-8"/>
                <w:kern w:val="0"/>
                <w:sz w:val="18"/>
                <w:szCs w:val="18"/>
              </w:rPr>
              <w:t>分。</w:t>
            </w:r>
          </w:p>
        </w:tc>
        <w:tc>
          <w:tcPr>
            <w:tcW w:w="720" w:type="dxa"/>
            <w:vAlign w:val="center"/>
          </w:tcPr>
          <w:p>
            <w:pPr>
              <w:widowControl/>
              <w:spacing w:line="260" w:lineRule="exact"/>
              <w:ind w:left="-63" w:leftChars="-30" w:right="-63" w:rightChars="-30"/>
              <w:jc w:val="center"/>
              <w:rPr>
                <w:color w:val="000000"/>
                <w:spacing w:val="-4"/>
                <w:kern w:val="0"/>
                <w:sz w:val="18"/>
                <w:szCs w:val="18"/>
              </w:rPr>
            </w:pPr>
          </w:p>
        </w:tc>
        <w:tc>
          <w:tcPr>
            <w:tcW w:w="665" w:type="dxa"/>
            <w:vAlign w:val="center"/>
          </w:tcPr>
          <w:p>
            <w:pPr>
              <w:widowControl/>
              <w:spacing w:line="260" w:lineRule="exact"/>
              <w:ind w:left="-63" w:leftChars="-30" w:right="-63" w:rightChars="-30"/>
              <w:jc w:val="center"/>
              <w:rPr>
                <w:color w:val="000000"/>
                <w:spacing w:val="-4"/>
                <w:kern w:val="0"/>
                <w:sz w:val="18"/>
                <w:szCs w:val="18"/>
              </w:rPr>
            </w:pPr>
          </w:p>
        </w:tc>
        <w:tc>
          <w:tcPr>
            <w:tcW w:w="759"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654"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515"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3</w:t>
            </w:r>
            <w:r>
              <w:rPr>
                <w:rFonts w:hint="eastAsia" w:hAnsi="宋体"/>
                <w:color w:val="000000"/>
                <w:spacing w:val="-4"/>
                <w:kern w:val="0"/>
                <w:sz w:val="18"/>
                <w:szCs w:val="18"/>
              </w:rPr>
              <w:t>、企业或企业员工参加造价管理机构、造价管理协会、科研院校、主管部门工程造价咨询方面课题研究，作为课题组成员的，按课题成果每一个计加</w:t>
            </w:r>
            <w:r>
              <w:rPr>
                <w:color w:val="000000"/>
                <w:spacing w:val="-4"/>
                <w:kern w:val="0"/>
                <w:sz w:val="18"/>
                <w:szCs w:val="18"/>
              </w:rPr>
              <w:t>0.5</w:t>
            </w:r>
            <w:r>
              <w:rPr>
                <w:rFonts w:hint="eastAsia" w:hAnsi="宋体"/>
                <w:color w:val="000000"/>
                <w:spacing w:val="-4"/>
                <w:kern w:val="0"/>
                <w:sz w:val="18"/>
                <w:szCs w:val="18"/>
              </w:rPr>
              <w:t>分。</w:t>
            </w:r>
          </w:p>
        </w:tc>
        <w:tc>
          <w:tcPr>
            <w:tcW w:w="720" w:type="dxa"/>
            <w:vAlign w:val="center"/>
          </w:tcPr>
          <w:p>
            <w:pPr>
              <w:widowControl/>
              <w:spacing w:line="260" w:lineRule="exact"/>
              <w:ind w:left="-63" w:leftChars="-30" w:right="-63" w:rightChars="-30"/>
              <w:jc w:val="center"/>
              <w:rPr>
                <w:color w:val="000000"/>
                <w:spacing w:val="-4"/>
                <w:kern w:val="0"/>
                <w:sz w:val="18"/>
                <w:szCs w:val="18"/>
              </w:rPr>
            </w:pPr>
          </w:p>
        </w:tc>
        <w:tc>
          <w:tcPr>
            <w:tcW w:w="665" w:type="dxa"/>
            <w:vAlign w:val="center"/>
          </w:tcPr>
          <w:p>
            <w:pPr>
              <w:widowControl/>
              <w:spacing w:line="260" w:lineRule="exact"/>
              <w:ind w:left="-63" w:leftChars="-30" w:right="-63" w:rightChars="-30"/>
              <w:jc w:val="center"/>
              <w:rPr>
                <w:color w:val="000000"/>
                <w:spacing w:val="-4"/>
                <w:kern w:val="0"/>
                <w:sz w:val="18"/>
                <w:szCs w:val="18"/>
              </w:rPr>
            </w:pPr>
          </w:p>
        </w:tc>
        <w:tc>
          <w:tcPr>
            <w:tcW w:w="759"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654"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515"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4</w:t>
            </w:r>
            <w:r>
              <w:rPr>
                <w:rFonts w:hint="eastAsia" w:hAnsi="宋体"/>
                <w:color w:val="000000"/>
                <w:spacing w:val="-4"/>
                <w:kern w:val="0"/>
                <w:sz w:val="18"/>
                <w:szCs w:val="18"/>
              </w:rPr>
              <w:t>、企业或企业员工研究建筑经济、工程造价、项目管理，著书立说或参与著书立说的，按出版成果计每一个加</w:t>
            </w:r>
            <w:r>
              <w:rPr>
                <w:color w:val="000000"/>
                <w:spacing w:val="-4"/>
                <w:kern w:val="0"/>
                <w:sz w:val="18"/>
                <w:szCs w:val="18"/>
              </w:rPr>
              <w:t>0.5</w:t>
            </w:r>
            <w:r>
              <w:rPr>
                <w:rFonts w:hint="eastAsia" w:hAnsi="宋体"/>
                <w:color w:val="000000"/>
                <w:spacing w:val="-4"/>
                <w:kern w:val="0"/>
                <w:sz w:val="18"/>
                <w:szCs w:val="18"/>
              </w:rPr>
              <w:t>分。</w:t>
            </w:r>
          </w:p>
        </w:tc>
        <w:tc>
          <w:tcPr>
            <w:tcW w:w="720" w:type="dxa"/>
            <w:vAlign w:val="center"/>
          </w:tcPr>
          <w:p>
            <w:pPr>
              <w:widowControl/>
              <w:spacing w:line="260" w:lineRule="exact"/>
              <w:ind w:left="-63" w:leftChars="-30" w:right="-63" w:rightChars="-30"/>
              <w:jc w:val="center"/>
              <w:rPr>
                <w:color w:val="000000"/>
                <w:spacing w:val="-4"/>
                <w:kern w:val="0"/>
                <w:sz w:val="18"/>
                <w:szCs w:val="18"/>
              </w:rPr>
            </w:pPr>
          </w:p>
        </w:tc>
        <w:tc>
          <w:tcPr>
            <w:tcW w:w="665" w:type="dxa"/>
            <w:vAlign w:val="center"/>
          </w:tcPr>
          <w:p>
            <w:pPr>
              <w:widowControl/>
              <w:spacing w:line="260" w:lineRule="exact"/>
              <w:ind w:left="-63" w:leftChars="-30" w:right="-63" w:rightChars="-30"/>
              <w:jc w:val="center"/>
              <w:rPr>
                <w:color w:val="000000"/>
                <w:spacing w:val="-4"/>
                <w:kern w:val="0"/>
                <w:sz w:val="18"/>
                <w:szCs w:val="18"/>
              </w:rPr>
            </w:pPr>
          </w:p>
        </w:tc>
        <w:tc>
          <w:tcPr>
            <w:tcW w:w="759"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654"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515"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5</w:t>
            </w:r>
            <w:r>
              <w:rPr>
                <w:rFonts w:hint="eastAsia" w:hAnsi="宋体"/>
                <w:color w:val="000000"/>
                <w:spacing w:val="-4"/>
                <w:kern w:val="0"/>
                <w:sz w:val="18"/>
                <w:szCs w:val="18"/>
              </w:rPr>
              <w:t>、企业员工应邀参加省市造价管理机构或造价管理协会组织的培训班讲课的，每人次计加</w:t>
            </w:r>
            <w:r>
              <w:rPr>
                <w:color w:val="000000"/>
                <w:spacing w:val="-4"/>
                <w:kern w:val="0"/>
                <w:sz w:val="18"/>
                <w:szCs w:val="18"/>
              </w:rPr>
              <w:t>0.5</w:t>
            </w:r>
            <w:r>
              <w:rPr>
                <w:rFonts w:hint="eastAsia" w:hAnsi="宋体"/>
                <w:color w:val="000000"/>
                <w:spacing w:val="-4"/>
                <w:kern w:val="0"/>
                <w:sz w:val="18"/>
                <w:szCs w:val="18"/>
              </w:rPr>
              <w:t>分。</w:t>
            </w:r>
          </w:p>
        </w:tc>
        <w:tc>
          <w:tcPr>
            <w:tcW w:w="720" w:type="dxa"/>
            <w:vAlign w:val="center"/>
          </w:tcPr>
          <w:p>
            <w:pPr>
              <w:widowControl/>
              <w:spacing w:line="260" w:lineRule="exact"/>
              <w:ind w:left="-63" w:leftChars="-30" w:right="-63" w:rightChars="-30"/>
              <w:jc w:val="center"/>
              <w:rPr>
                <w:color w:val="000000"/>
                <w:spacing w:val="-4"/>
                <w:kern w:val="0"/>
                <w:sz w:val="18"/>
                <w:szCs w:val="18"/>
              </w:rPr>
            </w:pPr>
          </w:p>
        </w:tc>
        <w:tc>
          <w:tcPr>
            <w:tcW w:w="665" w:type="dxa"/>
            <w:vAlign w:val="center"/>
          </w:tcPr>
          <w:p>
            <w:pPr>
              <w:widowControl/>
              <w:spacing w:line="260" w:lineRule="exact"/>
              <w:ind w:left="-63" w:leftChars="-30" w:right="-63" w:rightChars="-30"/>
              <w:jc w:val="center"/>
              <w:rPr>
                <w:color w:val="000000"/>
                <w:spacing w:val="-4"/>
                <w:kern w:val="0"/>
                <w:sz w:val="18"/>
                <w:szCs w:val="18"/>
              </w:rPr>
            </w:pPr>
          </w:p>
        </w:tc>
        <w:tc>
          <w:tcPr>
            <w:tcW w:w="759"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654"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515"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0" w:type="dxa"/>
            <w:vMerge w:val="restart"/>
            <w:noWrap/>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8</w:t>
            </w:r>
          </w:p>
        </w:tc>
        <w:tc>
          <w:tcPr>
            <w:tcW w:w="1545" w:type="dxa"/>
            <w:vMerge w:val="restart"/>
            <w:vAlign w:val="center"/>
          </w:tcPr>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优秀会员荣誉</w:t>
            </w:r>
          </w:p>
        </w:tc>
        <w:tc>
          <w:tcPr>
            <w:tcW w:w="6194" w:type="dxa"/>
            <w:vAlign w:val="center"/>
          </w:tcPr>
          <w:p>
            <w:pPr>
              <w:widowControl/>
              <w:spacing w:line="260" w:lineRule="exact"/>
              <w:ind w:left="-63" w:leftChars="-30" w:right="-63" w:rightChars="-30"/>
              <w:jc w:val="distribute"/>
              <w:rPr>
                <w:rFonts w:hAnsi="宋体"/>
                <w:color w:val="000000"/>
                <w:spacing w:val="-4"/>
                <w:kern w:val="0"/>
                <w:sz w:val="18"/>
                <w:szCs w:val="18"/>
              </w:rPr>
            </w:pPr>
            <w:r>
              <w:rPr>
                <w:color w:val="000000"/>
                <w:spacing w:val="-4"/>
                <w:kern w:val="0"/>
                <w:sz w:val="18"/>
                <w:szCs w:val="18"/>
              </w:rPr>
              <w:t>1</w:t>
            </w:r>
            <w:r>
              <w:rPr>
                <w:rFonts w:hint="eastAsia" w:hAnsi="宋体"/>
                <w:color w:val="000000"/>
                <w:spacing w:val="-4"/>
                <w:kern w:val="0"/>
                <w:sz w:val="18"/>
                <w:szCs w:val="18"/>
              </w:rPr>
              <w:t>、企业积极参加市造价行业活动，获得市造价协会</w:t>
            </w:r>
            <w:r>
              <w:rPr>
                <w:rFonts w:hint="eastAsia"/>
                <w:color w:val="000000"/>
                <w:spacing w:val="-4"/>
                <w:kern w:val="0"/>
                <w:sz w:val="18"/>
                <w:szCs w:val="18"/>
              </w:rPr>
              <w:t>“</w:t>
            </w:r>
            <w:r>
              <w:rPr>
                <w:rFonts w:hint="eastAsia" w:hAnsi="宋体"/>
                <w:color w:val="000000"/>
                <w:spacing w:val="-4"/>
                <w:kern w:val="0"/>
                <w:sz w:val="18"/>
                <w:szCs w:val="18"/>
              </w:rPr>
              <w:t>优秀会员”荣誉的，计加</w:t>
            </w:r>
          </w:p>
          <w:p>
            <w:pPr>
              <w:widowControl/>
              <w:spacing w:line="260" w:lineRule="exact"/>
              <w:ind w:left="-63" w:leftChars="-30" w:right="-63" w:rightChars="-30"/>
              <w:rPr>
                <w:color w:val="000000"/>
                <w:spacing w:val="-4"/>
                <w:kern w:val="0"/>
                <w:sz w:val="18"/>
                <w:szCs w:val="18"/>
              </w:rPr>
            </w:pPr>
            <w:r>
              <w:rPr>
                <w:color w:val="000000"/>
                <w:spacing w:val="-4"/>
                <w:kern w:val="0"/>
                <w:sz w:val="18"/>
                <w:szCs w:val="18"/>
              </w:rPr>
              <w:t>0.5</w:t>
            </w:r>
            <w:r>
              <w:rPr>
                <w:rFonts w:hint="eastAsia" w:hAnsi="宋体"/>
                <w:color w:val="000000"/>
                <w:spacing w:val="-4"/>
                <w:kern w:val="0"/>
                <w:sz w:val="18"/>
                <w:szCs w:val="18"/>
              </w:rPr>
              <w:t>分。</w:t>
            </w:r>
          </w:p>
        </w:tc>
        <w:tc>
          <w:tcPr>
            <w:tcW w:w="720" w:type="dxa"/>
            <w:vAlign w:val="center"/>
          </w:tcPr>
          <w:p>
            <w:pPr>
              <w:widowControl/>
              <w:spacing w:line="260" w:lineRule="exact"/>
              <w:ind w:left="-63" w:leftChars="-30" w:right="-63" w:rightChars="-30"/>
              <w:jc w:val="center"/>
              <w:rPr>
                <w:color w:val="000000"/>
                <w:spacing w:val="-4"/>
                <w:kern w:val="0"/>
                <w:sz w:val="18"/>
                <w:szCs w:val="18"/>
              </w:rPr>
            </w:pPr>
          </w:p>
        </w:tc>
        <w:tc>
          <w:tcPr>
            <w:tcW w:w="665" w:type="dxa"/>
            <w:vAlign w:val="center"/>
          </w:tcPr>
          <w:p>
            <w:pPr>
              <w:widowControl/>
              <w:spacing w:line="260" w:lineRule="exact"/>
              <w:ind w:left="-63" w:leftChars="-30" w:right="-63" w:rightChars="-30"/>
              <w:jc w:val="center"/>
              <w:rPr>
                <w:color w:val="000000"/>
                <w:spacing w:val="-4"/>
                <w:kern w:val="0"/>
                <w:sz w:val="18"/>
                <w:szCs w:val="18"/>
              </w:rPr>
            </w:pPr>
          </w:p>
        </w:tc>
        <w:tc>
          <w:tcPr>
            <w:tcW w:w="759" w:type="dxa"/>
            <w:vMerge w:val="restart"/>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1</w:t>
            </w:r>
          </w:p>
        </w:tc>
        <w:tc>
          <w:tcPr>
            <w:tcW w:w="654" w:type="dxa"/>
            <w:vMerge w:val="restart"/>
            <w:vAlign w:val="center"/>
          </w:tcPr>
          <w:p>
            <w:pPr>
              <w:widowControl/>
              <w:spacing w:line="260" w:lineRule="exact"/>
              <w:ind w:left="-63" w:leftChars="-30" w:right="-63" w:rightChars="-30"/>
              <w:jc w:val="center"/>
              <w:rPr>
                <w:color w:val="000000"/>
                <w:spacing w:val="-4"/>
                <w:kern w:val="0"/>
                <w:sz w:val="18"/>
                <w:szCs w:val="18"/>
              </w:rPr>
            </w:pPr>
          </w:p>
        </w:tc>
        <w:tc>
          <w:tcPr>
            <w:tcW w:w="3515" w:type="dxa"/>
            <w:vMerge w:val="restart"/>
            <w:vAlign w:val="center"/>
          </w:tcPr>
          <w:p>
            <w:pPr>
              <w:widowControl/>
              <w:spacing w:line="260" w:lineRule="exact"/>
              <w:ind w:left="-63" w:leftChars="-30" w:right="-63" w:rightChars="-30"/>
              <w:rPr>
                <w:color w:val="000000"/>
                <w:spacing w:val="-4"/>
                <w:kern w:val="0"/>
                <w:sz w:val="18"/>
                <w:szCs w:val="18"/>
              </w:rPr>
            </w:pPr>
            <w:r>
              <w:rPr>
                <w:rFonts w:hAnsi="宋体"/>
                <w:color w:val="000000"/>
                <w:spacing w:val="-4"/>
                <w:kern w:val="0"/>
                <w:sz w:val="18"/>
                <w:szCs w:val="18"/>
              </w:rPr>
              <w:t>1</w:t>
            </w:r>
            <w:r>
              <w:rPr>
                <w:rFonts w:hint="eastAsia" w:hAnsi="宋体"/>
                <w:color w:val="000000"/>
                <w:spacing w:val="-4"/>
                <w:kern w:val="0"/>
                <w:sz w:val="18"/>
                <w:szCs w:val="18"/>
              </w:rPr>
              <w:t>、优秀会员荣誉证明性材料由企业提供，或由企业所在注册地有关造价管理机构、造价管理协会出证，由企业申请信用评价时自行通过信用评价系统上传。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vAlign w:val="center"/>
          </w:tcPr>
          <w:p>
            <w:pPr>
              <w:widowControl/>
              <w:spacing w:line="260" w:lineRule="exact"/>
              <w:ind w:left="-63" w:leftChars="-30" w:right="-63" w:rightChars="-30"/>
              <w:jc w:val="distribute"/>
              <w:rPr>
                <w:rFonts w:hAnsi="宋体"/>
                <w:color w:val="000000"/>
                <w:spacing w:val="-4"/>
                <w:kern w:val="0"/>
                <w:sz w:val="18"/>
                <w:szCs w:val="18"/>
              </w:rPr>
            </w:pPr>
            <w:r>
              <w:rPr>
                <w:color w:val="000000"/>
                <w:spacing w:val="-4"/>
                <w:kern w:val="0"/>
                <w:sz w:val="18"/>
                <w:szCs w:val="18"/>
              </w:rPr>
              <w:t>2</w:t>
            </w:r>
            <w:r>
              <w:rPr>
                <w:rFonts w:hint="eastAsia" w:hAnsi="宋体"/>
                <w:color w:val="000000"/>
                <w:spacing w:val="-4"/>
                <w:kern w:val="0"/>
                <w:sz w:val="18"/>
                <w:szCs w:val="18"/>
              </w:rPr>
              <w:t>、企业积极参加省造价行业活动，获得省造价协会“优秀会员”荣誉的，计加</w:t>
            </w:r>
          </w:p>
          <w:p>
            <w:pPr>
              <w:widowControl/>
              <w:spacing w:line="260" w:lineRule="exact"/>
              <w:ind w:left="-63" w:leftChars="-30" w:right="-63" w:rightChars="-30"/>
              <w:rPr>
                <w:color w:val="000000"/>
                <w:spacing w:val="-4"/>
                <w:kern w:val="0"/>
                <w:sz w:val="18"/>
                <w:szCs w:val="18"/>
              </w:rPr>
            </w:pPr>
            <w:r>
              <w:rPr>
                <w:color w:val="000000"/>
                <w:spacing w:val="-4"/>
                <w:kern w:val="0"/>
                <w:sz w:val="18"/>
                <w:szCs w:val="18"/>
              </w:rPr>
              <w:t>0.5</w:t>
            </w:r>
            <w:r>
              <w:rPr>
                <w:rFonts w:hint="eastAsia" w:hAnsi="宋体"/>
                <w:color w:val="000000"/>
                <w:spacing w:val="-4"/>
                <w:kern w:val="0"/>
                <w:sz w:val="18"/>
                <w:szCs w:val="18"/>
              </w:rPr>
              <w:t>分。</w:t>
            </w:r>
          </w:p>
        </w:tc>
        <w:tc>
          <w:tcPr>
            <w:tcW w:w="720" w:type="dxa"/>
            <w:vAlign w:val="center"/>
          </w:tcPr>
          <w:p>
            <w:pPr>
              <w:widowControl/>
              <w:spacing w:line="260" w:lineRule="exact"/>
              <w:ind w:left="-63" w:leftChars="-30" w:right="-63" w:rightChars="-30"/>
              <w:jc w:val="center"/>
              <w:rPr>
                <w:color w:val="000000"/>
                <w:spacing w:val="-4"/>
                <w:kern w:val="0"/>
                <w:sz w:val="18"/>
                <w:szCs w:val="18"/>
              </w:rPr>
            </w:pPr>
          </w:p>
        </w:tc>
        <w:tc>
          <w:tcPr>
            <w:tcW w:w="665" w:type="dxa"/>
            <w:vAlign w:val="center"/>
          </w:tcPr>
          <w:p>
            <w:pPr>
              <w:widowControl/>
              <w:spacing w:line="260" w:lineRule="exact"/>
              <w:ind w:left="-63" w:leftChars="-30" w:right="-63" w:rightChars="-30"/>
              <w:jc w:val="center"/>
              <w:rPr>
                <w:color w:val="000000"/>
                <w:spacing w:val="-4"/>
                <w:kern w:val="0"/>
                <w:sz w:val="18"/>
                <w:szCs w:val="18"/>
              </w:rPr>
            </w:pPr>
          </w:p>
        </w:tc>
        <w:tc>
          <w:tcPr>
            <w:tcW w:w="759"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654"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515"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vMerge w:val="restart"/>
            <w:noWrap/>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9</w:t>
            </w:r>
          </w:p>
        </w:tc>
        <w:tc>
          <w:tcPr>
            <w:tcW w:w="1545" w:type="dxa"/>
            <w:vMerge w:val="restart"/>
            <w:noWrap/>
            <w:vAlign w:val="center"/>
          </w:tcPr>
          <w:p>
            <w:pPr>
              <w:widowControl/>
              <w:spacing w:line="260" w:lineRule="exact"/>
              <w:ind w:left="-63" w:leftChars="-30" w:right="-63" w:rightChars="-30"/>
              <w:jc w:val="center"/>
              <w:rPr>
                <w:color w:val="000000"/>
                <w:spacing w:val="-4"/>
                <w:kern w:val="0"/>
                <w:sz w:val="18"/>
                <w:szCs w:val="18"/>
              </w:rPr>
            </w:pPr>
            <w:r>
              <w:rPr>
                <w:rFonts w:hint="eastAsia" w:hAnsi="宋体"/>
                <w:color w:val="000000"/>
                <w:spacing w:val="-4"/>
                <w:kern w:val="0"/>
                <w:sz w:val="18"/>
                <w:szCs w:val="18"/>
              </w:rPr>
              <w:t>（各市自主评价项）</w:t>
            </w:r>
          </w:p>
        </w:tc>
        <w:tc>
          <w:tcPr>
            <w:tcW w:w="6194" w:type="dxa"/>
            <w:noWrap/>
            <w:vAlign w:val="center"/>
          </w:tcPr>
          <w:p>
            <w:pPr>
              <w:widowControl/>
              <w:spacing w:line="260" w:lineRule="exact"/>
              <w:ind w:left="-63" w:leftChars="-30" w:right="-63" w:rightChars="-30"/>
              <w:rPr>
                <w:color w:val="000000"/>
                <w:spacing w:val="-4"/>
                <w:kern w:val="0"/>
                <w:sz w:val="18"/>
                <w:szCs w:val="18"/>
              </w:rPr>
            </w:pPr>
            <w:r>
              <w:rPr>
                <w:rFonts w:hint="eastAsia"/>
                <w:color w:val="000000"/>
                <w:spacing w:val="-4"/>
                <w:kern w:val="0"/>
                <w:sz w:val="18"/>
                <w:szCs w:val="18"/>
              </w:rPr>
              <w:t>（</w:t>
            </w:r>
            <w:r>
              <w:rPr>
                <w:color w:val="000000"/>
                <w:spacing w:val="-4"/>
                <w:kern w:val="0"/>
                <w:sz w:val="18"/>
                <w:szCs w:val="18"/>
              </w:rPr>
              <w:t>1</w:t>
            </w:r>
            <w:r>
              <w:rPr>
                <w:rFonts w:hint="eastAsia" w:hAnsi="宋体"/>
                <w:color w:val="000000"/>
                <w:spacing w:val="-4"/>
                <w:kern w:val="0"/>
                <w:sz w:val="18"/>
                <w:szCs w:val="18"/>
              </w:rPr>
              <w:t>、业务创新：</w:t>
            </w:r>
            <w:r>
              <w:rPr>
                <w:color w:val="000000"/>
                <w:spacing w:val="-4"/>
                <w:kern w:val="0"/>
                <w:sz w:val="18"/>
                <w:szCs w:val="18"/>
              </w:rPr>
              <w:t>BIM</w:t>
            </w:r>
            <w:r>
              <w:rPr>
                <w:rFonts w:hint="eastAsia" w:hAnsi="宋体"/>
                <w:color w:val="000000"/>
                <w:spacing w:val="-4"/>
                <w:kern w:val="0"/>
                <w:sz w:val="18"/>
                <w:szCs w:val="18"/>
              </w:rPr>
              <w:t>、绿色建筑、综合管廊、海绵城市、装配式建筑…）</w:t>
            </w:r>
          </w:p>
        </w:tc>
        <w:tc>
          <w:tcPr>
            <w:tcW w:w="720" w:type="dxa"/>
            <w:noWrap/>
            <w:vAlign w:val="center"/>
          </w:tcPr>
          <w:p>
            <w:pPr>
              <w:widowControl/>
              <w:spacing w:line="260" w:lineRule="exact"/>
              <w:ind w:left="-63" w:leftChars="-30" w:right="-63" w:rightChars="-30"/>
              <w:jc w:val="center"/>
              <w:rPr>
                <w:color w:val="000000"/>
                <w:spacing w:val="-4"/>
                <w:kern w:val="0"/>
                <w:sz w:val="18"/>
                <w:szCs w:val="18"/>
              </w:rPr>
            </w:pPr>
          </w:p>
        </w:tc>
        <w:tc>
          <w:tcPr>
            <w:tcW w:w="665" w:type="dxa"/>
            <w:noWrap/>
            <w:vAlign w:val="center"/>
          </w:tcPr>
          <w:p>
            <w:pPr>
              <w:widowControl/>
              <w:spacing w:line="260" w:lineRule="exact"/>
              <w:ind w:left="-63" w:leftChars="-30" w:right="-63" w:rightChars="-30"/>
              <w:jc w:val="center"/>
              <w:rPr>
                <w:color w:val="000000"/>
                <w:spacing w:val="-4"/>
                <w:kern w:val="0"/>
                <w:sz w:val="18"/>
                <w:szCs w:val="18"/>
              </w:rPr>
            </w:pPr>
          </w:p>
        </w:tc>
        <w:tc>
          <w:tcPr>
            <w:tcW w:w="759" w:type="dxa"/>
            <w:vMerge w:val="restart"/>
            <w:noWrap/>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2</w:t>
            </w:r>
          </w:p>
        </w:tc>
        <w:tc>
          <w:tcPr>
            <w:tcW w:w="654" w:type="dxa"/>
            <w:vMerge w:val="restart"/>
            <w:noWrap/>
            <w:vAlign w:val="center"/>
          </w:tcPr>
          <w:p>
            <w:pPr>
              <w:widowControl/>
              <w:spacing w:line="260" w:lineRule="exact"/>
              <w:ind w:left="-63" w:leftChars="-30" w:right="-63" w:rightChars="-30"/>
              <w:jc w:val="center"/>
              <w:rPr>
                <w:color w:val="000000"/>
                <w:spacing w:val="-4"/>
                <w:kern w:val="0"/>
                <w:sz w:val="18"/>
                <w:szCs w:val="18"/>
              </w:rPr>
            </w:pPr>
          </w:p>
        </w:tc>
        <w:tc>
          <w:tcPr>
            <w:tcW w:w="3515" w:type="dxa"/>
            <w:vMerge w:val="restart"/>
            <w:vAlign w:val="center"/>
          </w:tcPr>
          <w:p>
            <w:pPr>
              <w:widowControl/>
              <w:spacing w:line="260" w:lineRule="exact"/>
              <w:ind w:left="-63" w:leftChars="-30" w:right="-63" w:rightChars="-30"/>
              <w:rPr>
                <w:color w:val="000000"/>
                <w:spacing w:val="-4"/>
                <w:kern w:val="0"/>
                <w:sz w:val="18"/>
                <w:szCs w:val="18"/>
              </w:rPr>
            </w:pPr>
            <w:r>
              <w:rPr>
                <w:color w:val="000000"/>
                <w:spacing w:val="-4"/>
                <w:kern w:val="0"/>
                <w:sz w:val="18"/>
                <w:szCs w:val="18"/>
              </w:rPr>
              <w:t>1</w:t>
            </w:r>
            <w:r>
              <w:rPr>
                <w:rFonts w:hint="eastAsia" w:hAnsi="宋体"/>
                <w:color w:val="000000"/>
                <w:spacing w:val="-4"/>
                <w:kern w:val="0"/>
                <w:sz w:val="18"/>
                <w:szCs w:val="18"/>
              </w:rPr>
              <w:t>、各市自主评价项的内容和评分细则由各市造价管理机构和造价协会设置；</w:t>
            </w:r>
            <w:r>
              <w:rPr>
                <w:color w:val="000000"/>
                <w:spacing w:val="-4"/>
                <w:kern w:val="0"/>
                <w:sz w:val="18"/>
                <w:szCs w:val="18"/>
              </w:rPr>
              <w:t xml:space="preserve">                    </w:t>
            </w:r>
          </w:p>
          <w:p>
            <w:pPr>
              <w:widowControl/>
              <w:spacing w:line="260" w:lineRule="exact"/>
              <w:ind w:left="-63" w:leftChars="-30" w:right="-63" w:rightChars="-30"/>
              <w:rPr>
                <w:color w:val="000000"/>
                <w:spacing w:val="-4"/>
                <w:kern w:val="0"/>
                <w:sz w:val="18"/>
                <w:szCs w:val="18"/>
              </w:rPr>
            </w:pPr>
            <w:r>
              <w:rPr>
                <w:color w:val="000000"/>
                <w:spacing w:val="-4"/>
                <w:kern w:val="0"/>
                <w:sz w:val="18"/>
                <w:szCs w:val="18"/>
              </w:rPr>
              <w:t>2</w:t>
            </w:r>
            <w:r>
              <w:rPr>
                <w:rFonts w:hint="eastAsia" w:hAnsi="宋体"/>
                <w:color w:val="000000"/>
                <w:spacing w:val="-4"/>
                <w:kern w:val="0"/>
                <w:sz w:val="18"/>
                <w:szCs w:val="18"/>
              </w:rPr>
              <w:t>、各市信用评价工作专家小组对自主评价项的内容给予在线评价赋分。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noWrap/>
            <w:vAlign w:val="center"/>
          </w:tcPr>
          <w:p>
            <w:pPr>
              <w:widowControl/>
              <w:spacing w:line="260" w:lineRule="exact"/>
              <w:ind w:left="-63" w:leftChars="-30" w:right="-63" w:rightChars="-30"/>
              <w:rPr>
                <w:color w:val="000000"/>
                <w:spacing w:val="-4"/>
                <w:kern w:val="0"/>
                <w:sz w:val="18"/>
                <w:szCs w:val="18"/>
              </w:rPr>
            </w:pPr>
            <w:r>
              <w:rPr>
                <w:rFonts w:hint="eastAsia"/>
                <w:color w:val="000000"/>
                <w:spacing w:val="-4"/>
                <w:kern w:val="0"/>
                <w:sz w:val="18"/>
                <w:szCs w:val="18"/>
              </w:rPr>
              <w:t>（</w:t>
            </w:r>
            <w:r>
              <w:rPr>
                <w:color w:val="000000"/>
                <w:spacing w:val="-4"/>
                <w:kern w:val="0"/>
                <w:sz w:val="18"/>
                <w:szCs w:val="18"/>
              </w:rPr>
              <w:t>2</w:t>
            </w:r>
            <w:r>
              <w:rPr>
                <w:rFonts w:hint="eastAsia" w:hAnsi="宋体"/>
                <w:color w:val="000000"/>
                <w:spacing w:val="-4"/>
                <w:kern w:val="0"/>
                <w:sz w:val="18"/>
                <w:szCs w:val="18"/>
              </w:rPr>
              <w:t>、管理创新：……）</w:t>
            </w:r>
          </w:p>
        </w:tc>
        <w:tc>
          <w:tcPr>
            <w:tcW w:w="720" w:type="dxa"/>
            <w:noWrap/>
            <w:vAlign w:val="center"/>
          </w:tcPr>
          <w:p>
            <w:pPr>
              <w:widowControl/>
              <w:spacing w:line="260" w:lineRule="exact"/>
              <w:ind w:left="-63" w:leftChars="-30" w:right="-63" w:rightChars="-30"/>
              <w:jc w:val="center"/>
              <w:rPr>
                <w:color w:val="000000"/>
                <w:spacing w:val="-4"/>
                <w:kern w:val="0"/>
                <w:sz w:val="18"/>
                <w:szCs w:val="18"/>
              </w:rPr>
            </w:pPr>
          </w:p>
        </w:tc>
        <w:tc>
          <w:tcPr>
            <w:tcW w:w="665" w:type="dxa"/>
            <w:vAlign w:val="center"/>
          </w:tcPr>
          <w:p>
            <w:pPr>
              <w:widowControl/>
              <w:spacing w:line="260" w:lineRule="exact"/>
              <w:ind w:left="-63" w:leftChars="-30" w:right="-63" w:rightChars="-30"/>
              <w:jc w:val="center"/>
              <w:rPr>
                <w:color w:val="000000"/>
                <w:spacing w:val="-4"/>
                <w:kern w:val="0"/>
                <w:sz w:val="18"/>
                <w:szCs w:val="18"/>
              </w:rPr>
            </w:pPr>
          </w:p>
        </w:tc>
        <w:tc>
          <w:tcPr>
            <w:tcW w:w="759"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654"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515"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0"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1545" w:type="dxa"/>
            <w:vMerge w:val="continue"/>
            <w:vAlign w:val="center"/>
          </w:tcPr>
          <w:p>
            <w:pPr>
              <w:widowControl/>
              <w:spacing w:line="260" w:lineRule="exact"/>
              <w:ind w:left="-63" w:leftChars="-30" w:right="-63" w:rightChars="-30"/>
              <w:jc w:val="left"/>
              <w:rPr>
                <w:color w:val="000000"/>
                <w:spacing w:val="-4"/>
                <w:kern w:val="0"/>
                <w:sz w:val="18"/>
                <w:szCs w:val="18"/>
              </w:rPr>
            </w:pPr>
          </w:p>
        </w:tc>
        <w:tc>
          <w:tcPr>
            <w:tcW w:w="6194" w:type="dxa"/>
            <w:noWrap/>
            <w:vAlign w:val="center"/>
          </w:tcPr>
          <w:p>
            <w:pPr>
              <w:widowControl/>
              <w:spacing w:line="260" w:lineRule="exact"/>
              <w:ind w:left="-63" w:leftChars="-30" w:right="-63" w:rightChars="-30"/>
              <w:rPr>
                <w:color w:val="000000"/>
                <w:spacing w:val="-4"/>
                <w:kern w:val="0"/>
                <w:sz w:val="18"/>
                <w:szCs w:val="18"/>
              </w:rPr>
            </w:pPr>
            <w:r>
              <w:rPr>
                <w:rFonts w:hint="eastAsia"/>
                <w:color w:val="000000"/>
                <w:spacing w:val="-4"/>
                <w:kern w:val="0"/>
                <w:sz w:val="18"/>
                <w:szCs w:val="18"/>
              </w:rPr>
              <w:t>（</w:t>
            </w:r>
            <w:r>
              <w:rPr>
                <w:color w:val="000000"/>
                <w:spacing w:val="-4"/>
                <w:kern w:val="0"/>
                <w:sz w:val="18"/>
                <w:szCs w:val="18"/>
              </w:rPr>
              <w:t>3</w:t>
            </w:r>
            <w:r>
              <w:rPr>
                <w:rFonts w:hint="eastAsia" w:hAnsi="宋体"/>
                <w:color w:val="000000"/>
                <w:spacing w:val="-4"/>
                <w:kern w:val="0"/>
                <w:sz w:val="18"/>
                <w:szCs w:val="18"/>
              </w:rPr>
              <w:t>、……）</w:t>
            </w:r>
          </w:p>
        </w:tc>
        <w:tc>
          <w:tcPr>
            <w:tcW w:w="720" w:type="dxa"/>
            <w:noWrap/>
            <w:vAlign w:val="center"/>
          </w:tcPr>
          <w:p>
            <w:pPr>
              <w:widowControl/>
              <w:spacing w:line="260" w:lineRule="exact"/>
              <w:ind w:left="-63" w:leftChars="-30" w:right="-63" w:rightChars="-30"/>
              <w:jc w:val="center"/>
              <w:rPr>
                <w:color w:val="000000"/>
                <w:spacing w:val="-4"/>
                <w:kern w:val="0"/>
                <w:sz w:val="18"/>
                <w:szCs w:val="18"/>
              </w:rPr>
            </w:pPr>
          </w:p>
        </w:tc>
        <w:tc>
          <w:tcPr>
            <w:tcW w:w="665" w:type="dxa"/>
            <w:vAlign w:val="center"/>
          </w:tcPr>
          <w:p>
            <w:pPr>
              <w:widowControl/>
              <w:spacing w:line="260" w:lineRule="exact"/>
              <w:ind w:left="-63" w:leftChars="-30" w:right="-63" w:rightChars="-30"/>
              <w:jc w:val="center"/>
              <w:rPr>
                <w:color w:val="000000"/>
                <w:spacing w:val="-4"/>
                <w:kern w:val="0"/>
                <w:sz w:val="18"/>
                <w:szCs w:val="18"/>
              </w:rPr>
            </w:pPr>
          </w:p>
        </w:tc>
        <w:tc>
          <w:tcPr>
            <w:tcW w:w="759"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654" w:type="dxa"/>
            <w:vMerge w:val="continue"/>
            <w:vAlign w:val="center"/>
          </w:tcPr>
          <w:p>
            <w:pPr>
              <w:widowControl/>
              <w:spacing w:line="260" w:lineRule="exact"/>
              <w:ind w:left="-63" w:leftChars="-30" w:right="-63" w:rightChars="-30"/>
              <w:jc w:val="center"/>
              <w:rPr>
                <w:color w:val="000000"/>
                <w:spacing w:val="-4"/>
                <w:kern w:val="0"/>
                <w:sz w:val="18"/>
                <w:szCs w:val="18"/>
              </w:rPr>
            </w:pPr>
          </w:p>
        </w:tc>
        <w:tc>
          <w:tcPr>
            <w:tcW w:w="3515" w:type="dxa"/>
            <w:vMerge w:val="continue"/>
            <w:vAlign w:val="center"/>
          </w:tcPr>
          <w:p>
            <w:pPr>
              <w:widowControl/>
              <w:spacing w:line="260" w:lineRule="exact"/>
              <w:ind w:left="-63" w:leftChars="-30" w:right="-63" w:rightChars="-30"/>
              <w:rPr>
                <w:color w:val="000000"/>
                <w:spacing w:val="-4"/>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9" w:type="dxa"/>
            <w:gridSpan w:val="3"/>
            <w:tcBorders>
              <w:bottom w:val="single" w:color="auto" w:sz="8" w:space="0"/>
            </w:tcBorders>
            <w:noWrap/>
            <w:vAlign w:val="center"/>
          </w:tcPr>
          <w:p>
            <w:pPr>
              <w:widowControl/>
              <w:spacing w:line="260" w:lineRule="exact"/>
              <w:ind w:left="-63" w:leftChars="-30" w:right="-63" w:rightChars="-30"/>
              <w:jc w:val="center"/>
              <w:rPr>
                <w:b/>
                <w:color w:val="000000"/>
                <w:spacing w:val="-4"/>
                <w:kern w:val="0"/>
                <w:sz w:val="18"/>
                <w:szCs w:val="18"/>
              </w:rPr>
            </w:pPr>
            <w:r>
              <w:rPr>
                <w:rFonts w:hint="eastAsia" w:hAnsi="宋体"/>
                <w:b/>
                <w:color w:val="000000"/>
                <w:spacing w:val="-4"/>
                <w:kern w:val="0"/>
                <w:sz w:val="18"/>
                <w:szCs w:val="18"/>
              </w:rPr>
              <w:t>评</w:t>
            </w:r>
            <w:r>
              <w:rPr>
                <w:b/>
                <w:color w:val="000000"/>
                <w:spacing w:val="-4"/>
                <w:kern w:val="0"/>
                <w:sz w:val="18"/>
                <w:szCs w:val="18"/>
              </w:rPr>
              <w:t xml:space="preserve">  </w:t>
            </w:r>
            <w:r>
              <w:rPr>
                <w:rFonts w:hint="eastAsia" w:hAnsi="宋体"/>
                <w:b/>
                <w:color w:val="000000"/>
                <w:spacing w:val="-4"/>
                <w:kern w:val="0"/>
                <w:sz w:val="18"/>
                <w:szCs w:val="18"/>
              </w:rPr>
              <w:t>价</w:t>
            </w:r>
            <w:r>
              <w:rPr>
                <w:b/>
                <w:color w:val="000000"/>
                <w:spacing w:val="-4"/>
                <w:kern w:val="0"/>
                <w:sz w:val="18"/>
                <w:szCs w:val="18"/>
              </w:rPr>
              <w:t xml:space="preserve">  </w:t>
            </w:r>
            <w:r>
              <w:rPr>
                <w:rFonts w:hint="eastAsia" w:hAnsi="宋体"/>
                <w:b/>
                <w:color w:val="000000"/>
                <w:spacing w:val="-4"/>
                <w:kern w:val="0"/>
                <w:sz w:val="18"/>
                <w:szCs w:val="18"/>
              </w:rPr>
              <w:t>得</w:t>
            </w:r>
            <w:r>
              <w:rPr>
                <w:b/>
                <w:color w:val="000000"/>
                <w:spacing w:val="-4"/>
                <w:kern w:val="0"/>
                <w:sz w:val="18"/>
                <w:szCs w:val="18"/>
              </w:rPr>
              <w:t xml:space="preserve">  </w:t>
            </w:r>
            <w:r>
              <w:rPr>
                <w:rFonts w:hint="eastAsia" w:hAnsi="宋体"/>
                <w:b/>
                <w:color w:val="000000"/>
                <w:spacing w:val="-4"/>
                <w:kern w:val="0"/>
                <w:sz w:val="18"/>
                <w:szCs w:val="18"/>
              </w:rPr>
              <w:t>分</w:t>
            </w:r>
            <w:r>
              <w:rPr>
                <w:b/>
                <w:color w:val="000000"/>
                <w:spacing w:val="-4"/>
                <w:kern w:val="0"/>
                <w:sz w:val="18"/>
                <w:szCs w:val="18"/>
              </w:rPr>
              <w:t xml:space="preserve">  </w:t>
            </w:r>
            <w:r>
              <w:rPr>
                <w:rFonts w:hint="eastAsia" w:hAnsi="宋体"/>
                <w:b/>
                <w:color w:val="000000"/>
                <w:spacing w:val="-4"/>
                <w:kern w:val="0"/>
                <w:sz w:val="18"/>
                <w:szCs w:val="18"/>
              </w:rPr>
              <w:t>合</w:t>
            </w:r>
            <w:r>
              <w:rPr>
                <w:b/>
                <w:color w:val="000000"/>
                <w:spacing w:val="-4"/>
                <w:kern w:val="0"/>
                <w:sz w:val="18"/>
                <w:szCs w:val="18"/>
              </w:rPr>
              <w:t xml:space="preserve">  </w:t>
            </w:r>
            <w:r>
              <w:rPr>
                <w:rFonts w:hint="eastAsia" w:hAnsi="宋体"/>
                <w:b/>
                <w:color w:val="000000"/>
                <w:spacing w:val="-4"/>
                <w:kern w:val="0"/>
                <w:sz w:val="18"/>
                <w:szCs w:val="18"/>
              </w:rPr>
              <w:t>计</w:t>
            </w:r>
          </w:p>
        </w:tc>
        <w:tc>
          <w:tcPr>
            <w:tcW w:w="720" w:type="dxa"/>
            <w:tcBorders>
              <w:bottom w:val="single" w:color="auto" w:sz="8" w:space="0"/>
            </w:tcBorders>
            <w:noWrap/>
            <w:vAlign w:val="center"/>
          </w:tcPr>
          <w:p>
            <w:pPr>
              <w:widowControl/>
              <w:spacing w:line="260" w:lineRule="exact"/>
              <w:ind w:left="-63" w:leftChars="-30" w:right="-63" w:rightChars="-30"/>
              <w:jc w:val="center"/>
              <w:rPr>
                <w:color w:val="000000"/>
                <w:spacing w:val="-4"/>
                <w:kern w:val="0"/>
                <w:sz w:val="18"/>
                <w:szCs w:val="18"/>
              </w:rPr>
            </w:pPr>
          </w:p>
        </w:tc>
        <w:tc>
          <w:tcPr>
            <w:tcW w:w="665" w:type="dxa"/>
            <w:tcBorders>
              <w:bottom w:val="single" w:color="auto" w:sz="8" w:space="0"/>
            </w:tcBorders>
            <w:noWrap/>
            <w:vAlign w:val="center"/>
          </w:tcPr>
          <w:p>
            <w:pPr>
              <w:widowControl/>
              <w:spacing w:line="260" w:lineRule="exact"/>
              <w:ind w:left="-63" w:leftChars="-30" w:right="-63" w:rightChars="-30"/>
              <w:jc w:val="center"/>
              <w:rPr>
                <w:color w:val="000000"/>
                <w:spacing w:val="-4"/>
                <w:kern w:val="0"/>
                <w:sz w:val="18"/>
                <w:szCs w:val="18"/>
              </w:rPr>
            </w:pPr>
          </w:p>
        </w:tc>
        <w:tc>
          <w:tcPr>
            <w:tcW w:w="759" w:type="dxa"/>
            <w:tcBorders>
              <w:bottom w:val="single" w:color="auto" w:sz="8" w:space="0"/>
            </w:tcBorders>
            <w:noWrap/>
            <w:vAlign w:val="center"/>
          </w:tcPr>
          <w:p>
            <w:pPr>
              <w:widowControl/>
              <w:spacing w:line="260" w:lineRule="exact"/>
              <w:ind w:left="-63" w:leftChars="-30" w:right="-63" w:rightChars="-30"/>
              <w:jc w:val="center"/>
              <w:rPr>
                <w:color w:val="000000"/>
                <w:spacing w:val="-4"/>
                <w:kern w:val="0"/>
                <w:sz w:val="18"/>
                <w:szCs w:val="18"/>
              </w:rPr>
            </w:pPr>
            <w:r>
              <w:rPr>
                <w:color w:val="000000"/>
                <w:spacing w:val="-4"/>
                <w:kern w:val="0"/>
                <w:sz w:val="18"/>
                <w:szCs w:val="18"/>
              </w:rPr>
              <w:t>15</w:t>
            </w:r>
          </w:p>
        </w:tc>
        <w:tc>
          <w:tcPr>
            <w:tcW w:w="654" w:type="dxa"/>
            <w:tcBorders>
              <w:bottom w:val="single" w:color="auto" w:sz="8" w:space="0"/>
            </w:tcBorders>
            <w:noWrap/>
            <w:vAlign w:val="center"/>
          </w:tcPr>
          <w:p>
            <w:pPr>
              <w:widowControl/>
              <w:spacing w:line="260" w:lineRule="exact"/>
              <w:ind w:left="-63" w:leftChars="-30" w:right="-63" w:rightChars="-30"/>
              <w:jc w:val="center"/>
              <w:rPr>
                <w:color w:val="000000"/>
                <w:spacing w:val="-4"/>
                <w:kern w:val="0"/>
                <w:sz w:val="18"/>
                <w:szCs w:val="18"/>
              </w:rPr>
            </w:pPr>
          </w:p>
        </w:tc>
        <w:tc>
          <w:tcPr>
            <w:tcW w:w="3515" w:type="dxa"/>
            <w:tcBorders>
              <w:bottom w:val="single" w:color="auto" w:sz="8" w:space="0"/>
            </w:tcBorders>
            <w:noWrap/>
            <w:vAlign w:val="center"/>
          </w:tcPr>
          <w:p>
            <w:pPr>
              <w:widowControl/>
              <w:spacing w:line="260" w:lineRule="exact"/>
              <w:ind w:left="-63" w:leftChars="-30" w:right="-63" w:rightChars="-30"/>
              <w:rPr>
                <w:color w:val="000000"/>
                <w:spacing w:val="-4"/>
                <w:kern w:val="0"/>
                <w:sz w:val="18"/>
                <w:szCs w:val="18"/>
              </w:rPr>
            </w:pPr>
            <w:r>
              <w:rPr>
                <w:rFonts w:hint="eastAsia" w:hAnsi="宋体"/>
                <w:color w:val="000000"/>
                <w:spacing w:val="-4"/>
                <w:kern w:val="0"/>
                <w:sz w:val="18"/>
                <w:szCs w:val="18"/>
              </w:rPr>
              <w:t>　</w:t>
            </w:r>
          </w:p>
        </w:tc>
      </w:tr>
    </w:tbl>
    <w:p>
      <w:pPr>
        <w:tabs>
          <w:tab w:val="left" w:pos="712"/>
        </w:tabs>
        <w:spacing w:line="240" w:lineRule="exact"/>
        <w:jc w:val="left"/>
        <w:rPr>
          <w:color w:val="000000"/>
          <w:sz w:val="18"/>
          <w:szCs w:val="18"/>
        </w:rPr>
      </w:pPr>
      <w:r>
        <w:rPr>
          <w:rFonts w:hint="eastAsia"/>
          <w:color w:val="000000"/>
          <w:sz w:val="18"/>
          <w:szCs w:val="18"/>
        </w:rPr>
        <w:t>备注：</w:t>
      </w:r>
      <w:r>
        <w:rPr>
          <w:color w:val="000000"/>
          <w:sz w:val="18"/>
          <w:szCs w:val="18"/>
        </w:rPr>
        <w:t>1</w:t>
      </w:r>
      <w:r>
        <w:rPr>
          <w:rFonts w:hint="eastAsia"/>
          <w:color w:val="000000"/>
          <w:sz w:val="18"/>
          <w:szCs w:val="18"/>
        </w:rPr>
        <w:t>、“评价得分”由信用评价专家小组在线给予赋分，并按四舍五入保留小数点两位处理。</w:t>
      </w:r>
    </w:p>
    <w:p>
      <w:pPr>
        <w:spacing w:line="240" w:lineRule="exact"/>
        <w:ind w:firstLine="540" w:firstLineChars="300"/>
        <w:jc w:val="left"/>
        <w:rPr>
          <w:color w:val="000000"/>
          <w:sz w:val="18"/>
          <w:szCs w:val="18"/>
        </w:rPr>
      </w:pPr>
      <w:r>
        <w:rPr>
          <w:color w:val="000000"/>
          <w:sz w:val="18"/>
          <w:szCs w:val="18"/>
        </w:rPr>
        <w:t>2</w:t>
      </w:r>
      <w:r>
        <w:rPr>
          <w:rFonts w:hint="eastAsia"/>
          <w:color w:val="000000"/>
          <w:sz w:val="18"/>
          <w:szCs w:val="18"/>
        </w:rPr>
        <w:t>、每一项“评价得分”不得超过各项的“加分限额”。</w:t>
      </w:r>
    </w:p>
    <w:p>
      <w:pPr>
        <w:spacing w:line="240" w:lineRule="exact"/>
        <w:ind w:firstLine="540" w:firstLineChars="300"/>
        <w:jc w:val="left"/>
        <w:rPr>
          <w:color w:val="000000"/>
          <w:sz w:val="18"/>
          <w:szCs w:val="18"/>
        </w:rPr>
      </w:pPr>
      <w:r>
        <w:rPr>
          <w:color w:val="000000"/>
          <w:sz w:val="18"/>
          <w:szCs w:val="18"/>
        </w:rPr>
        <w:t>3</w:t>
      </w:r>
      <w:r>
        <w:rPr>
          <w:rFonts w:hint="eastAsia"/>
          <w:color w:val="000000"/>
          <w:sz w:val="18"/>
          <w:szCs w:val="18"/>
        </w:rPr>
        <w:t>、“各市自主评价项”用于调节各市之间的差别化管理，各市可根据需要自行设置评价内容，并在全市范围内统一实行；</w:t>
      </w:r>
    </w:p>
    <w:p>
      <w:pPr>
        <w:spacing w:line="240" w:lineRule="exact"/>
        <w:ind w:firstLine="540" w:firstLineChars="300"/>
        <w:jc w:val="left"/>
        <w:rPr>
          <w:color w:val="000000"/>
          <w:sz w:val="18"/>
          <w:szCs w:val="18"/>
        </w:rPr>
      </w:pPr>
      <w:r>
        <w:rPr>
          <w:color w:val="000000"/>
          <w:sz w:val="18"/>
          <w:szCs w:val="18"/>
        </w:rPr>
        <w:t>4</w:t>
      </w:r>
      <w:r>
        <w:rPr>
          <w:rFonts w:hint="eastAsia"/>
          <w:color w:val="000000"/>
          <w:sz w:val="18"/>
          <w:szCs w:val="18"/>
        </w:rPr>
        <w:t>、各市设置“自主评价项”，应同时规定相应的“良好行为评分细则”和“加分分值”。</w:t>
      </w:r>
    </w:p>
    <w:p>
      <w:pPr>
        <w:spacing w:line="240" w:lineRule="exact"/>
        <w:ind w:firstLine="540" w:firstLineChars="300"/>
        <w:jc w:val="left"/>
        <w:rPr>
          <w:color w:val="000000"/>
          <w:sz w:val="18"/>
          <w:szCs w:val="18"/>
        </w:rPr>
      </w:pPr>
      <w:r>
        <w:rPr>
          <w:color w:val="000000"/>
          <w:sz w:val="18"/>
          <w:szCs w:val="18"/>
        </w:rPr>
        <w:t>5</w:t>
      </w:r>
      <w:r>
        <w:rPr>
          <w:rFonts w:hint="eastAsia"/>
          <w:color w:val="000000"/>
          <w:sz w:val="18"/>
          <w:szCs w:val="18"/>
        </w:rPr>
        <w:t>、“评价得分合计”不得超过</w:t>
      </w:r>
      <w:r>
        <w:rPr>
          <w:color w:val="000000"/>
          <w:sz w:val="18"/>
          <w:szCs w:val="18"/>
        </w:rPr>
        <w:t>15</w:t>
      </w:r>
      <w:r>
        <w:rPr>
          <w:rFonts w:hint="eastAsia"/>
          <w:color w:val="000000"/>
          <w:sz w:val="18"/>
          <w:szCs w:val="18"/>
        </w:rPr>
        <w:t>分。“评价得分合计”分值移入附表</w:t>
      </w:r>
      <w:r>
        <w:rPr>
          <w:color w:val="000000"/>
          <w:sz w:val="18"/>
          <w:szCs w:val="18"/>
        </w:rPr>
        <w:t>2</w:t>
      </w:r>
      <w:r>
        <w:rPr>
          <w:rFonts w:hint="eastAsia"/>
          <w:color w:val="000000"/>
          <w:sz w:val="18"/>
          <w:szCs w:val="18"/>
        </w:rPr>
        <w:t>“良好行为记录”，给予汇总处理。</w:t>
      </w:r>
    </w:p>
    <w:p>
      <w:pPr>
        <w:spacing w:line="360" w:lineRule="auto"/>
        <w:jc w:val="left"/>
        <w:rPr>
          <w:rFonts w:eastAsia="方正黑体_GBK"/>
          <w:color w:val="000000"/>
          <w:kern w:val="0"/>
          <w:sz w:val="32"/>
          <w:szCs w:val="32"/>
        </w:rPr>
      </w:pPr>
      <w:r>
        <w:rPr>
          <w:color w:val="000000"/>
          <w:sz w:val="18"/>
          <w:szCs w:val="18"/>
        </w:rPr>
        <w:br w:type="column"/>
      </w:r>
      <w:r>
        <w:rPr>
          <w:rFonts w:hint="eastAsia" w:eastAsia="方正黑体_GBK"/>
          <w:color w:val="000000"/>
          <w:kern w:val="0"/>
          <w:sz w:val="32"/>
          <w:szCs w:val="32"/>
        </w:rPr>
        <w:t>附表</w:t>
      </w:r>
      <w:r>
        <w:rPr>
          <w:rFonts w:eastAsia="方正黑体_GBK"/>
          <w:color w:val="000000"/>
          <w:kern w:val="0"/>
          <w:sz w:val="32"/>
          <w:szCs w:val="32"/>
        </w:rPr>
        <w:t>5</w:t>
      </w:r>
    </w:p>
    <w:p>
      <w:pPr>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江苏省工程造价咨询企业不良行为评价减分表</w:t>
      </w:r>
    </w:p>
    <w:p>
      <w:pPr>
        <w:rPr>
          <w:color w:val="000000"/>
        </w:rPr>
      </w:pPr>
    </w:p>
    <w:tbl>
      <w:tblPr>
        <w:tblStyle w:val="7"/>
        <w:tblW w:w="138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173"/>
        <w:gridCol w:w="6711"/>
        <w:gridCol w:w="1004"/>
        <w:gridCol w:w="1043"/>
        <w:gridCol w:w="31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800" w:type="dxa"/>
            <w:tcBorders>
              <w:top w:val="single" w:color="auto" w:sz="8" w:space="0"/>
            </w:tcBorders>
            <w:noWrap/>
            <w:vAlign w:val="center"/>
          </w:tcPr>
          <w:p>
            <w:pPr>
              <w:widowControl/>
              <w:jc w:val="center"/>
              <w:rPr>
                <w:rFonts w:eastAsia="方正黑体_GBK"/>
                <w:color w:val="000000"/>
                <w:kern w:val="0"/>
                <w:sz w:val="18"/>
                <w:szCs w:val="18"/>
              </w:rPr>
            </w:pPr>
            <w:r>
              <w:rPr>
                <w:rFonts w:hint="eastAsia" w:eastAsia="方正黑体_GBK"/>
                <w:color w:val="000000"/>
                <w:kern w:val="0"/>
                <w:sz w:val="18"/>
                <w:szCs w:val="18"/>
              </w:rPr>
              <w:t>序号</w:t>
            </w:r>
          </w:p>
        </w:tc>
        <w:tc>
          <w:tcPr>
            <w:tcW w:w="1173" w:type="dxa"/>
            <w:tcBorders>
              <w:top w:val="single" w:color="auto" w:sz="8" w:space="0"/>
            </w:tcBorders>
            <w:noWrap/>
            <w:vAlign w:val="center"/>
          </w:tcPr>
          <w:p>
            <w:pPr>
              <w:widowControl/>
              <w:jc w:val="center"/>
              <w:rPr>
                <w:rFonts w:eastAsia="方正黑体_GBK"/>
                <w:color w:val="000000"/>
                <w:kern w:val="0"/>
                <w:sz w:val="18"/>
                <w:szCs w:val="18"/>
              </w:rPr>
            </w:pPr>
            <w:r>
              <w:rPr>
                <w:rFonts w:hint="eastAsia" w:eastAsia="方正黑体_GBK"/>
                <w:color w:val="000000"/>
                <w:kern w:val="0"/>
                <w:sz w:val="18"/>
                <w:szCs w:val="18"/>
              </w:rPr>
              <w:t>评价内容</w:t>
            </w:r>
          </w:p>
        </w:tc>
        <w:tc>
          <w:tcPr>
            <w:tcW w:w="6711" w:type="dxa"/>
            <w:tcBorders>
              <w:top w:val="single" w:color="auto" w:sz="8" w:space="0"/>
            </w:tcBorders>
            <w:vAlign w:val="center"/>
          </w:tcPr>
          <w:p>
            <w:pPr>
              <w:widowControl/>
              <w:jc w:val="center"/>
              <w:rPr>
                <w:rFonts w:eastAsia="方正黑体_GBK"/>
                <w:color w:val="000000"/>
                <w:kern w:val="0"/>
                <w:sz w:val="18"/>
                <w:szCs w:val="18"/>
              </w:rPr>
            </w:pPr>
            <w:r>
              <w:rPr>
                <w:rFonts w:hint="eastAsia" w:eastAsia="方正黑体_GBK"/>
                <w:color w:val="000000"/>
                <w:kern w:val="0"/>
                <w:sz w:val="18"/>
                <w:szCs w:val="18"/>
              </w:rPr>
              <w:t>不良行为评分细则</w:t>
            </w:r>
          </w:p>
        </w:tc>
        <w:tc>
          <w:tcPr>
            <w:tcW w:w="1004" w:type="dxa"/>
            <w:tcBorders>
              <w:top w:val="single" w:color="auto" w:sz="8" w:space="0"/>
            </w:tcBorders>
            <w:vAlign w:val="center"/>
          </w:tcPr>
          <w:p>
            <w:pPr>
              <w:widowControl/>
              <w:jc w:val="center"/>
              <w:rPr>
                <w:rFonts w:eastAsia="方正黑体_GBK"/>
                <w:color w:val="000000"/>
                <w:kern w:val="0"/>
                <w:sz w:val="18"/>
                <w:szCs w:val="18"/>
              </w:rPr>
            </w:pPr>
            <w:r>
              <w:rPr>
                <w:rFonts w:hint="eastAsia" w:eastAsia="方正黑体_GBK"/>
                <w:color w:val="000000"/>
                <w:kern w:val="0"/>
                <w:sz w:val="18"/>
                <w:szCs w:val="18"/>
              </w:rPr>
              <w:t>减分</w:t>
            </w:r>
          </w:p>
          <w:p>
            <w:pPr>
              <w:widowControl/>
              <w:jc w:val="center"/>
              <w:rPr>
                <w:rFonts w:eastAsia="方正黑体_GBK"/>
                <w:color w:val="000000"/>
                <w:kern w:val="0"/>
                <w:sz w:val="18"/>
                <w:szCs w:val="18"/>
              </w:rPr>
            </w:pPr>
            <w:r>
              <w:rPr>
                <w:rFonts w:hint="eastAsia" w:eastAsia="方正黑体_GBK"/>
                <w:color w:val="000000"/>
                <w:kern w:val="0"/>
                <w:sz w:val="18"/>
                <w:szCs w:val="18"/>
              </w:rPr>
              <w:t>选项</w:t>
            </w:r>
          </w:p>
        </w:tc>
        <w:tc>
          <w:tcPr>
            <w:tcW w:w="1043" w:type="dxa"/>
            <w:tcBorders>
              <w:top w:val="single" w:color="auto" w:sz="8" w:space="0"/>
            </w:tcBorders>
            <w:vAlign w:val="center"/>
          </w:tcPr>
          <w:p>
            <w:pPr>
              <w:widowControl/>
              <w:jc w:val="center"/>
              <w:rPr>
                <w:rFonts w:eastAsia="方正黑体_GBK"/>
                <w:color w:val="000000"/>
                <w:kern w:val="0"/>
                <w:sz w:val="18"/>
                <w:szCs w:val="18"/>
              </w:rPr>
            </w:pPr>
            <w:r>
              <w:rPr>
                <w:rFonts w:hint="eastAsia" w:eastAsia="方正黑体_GBK"/>
                <w:color w:val="000000"/>
                <w:kern w:val="0"/>
                <w:sz w:val="18"/>
                <w:szCs w:val="18"/>
              </w:rPr>
              <w:t>评价</w:t>
            </w:r>
          </w:p>
          <w:p>
            <w:pPr>
              <w:widowControl/>
              <w:jc w:val="center"/>
              <w:rPr>
                <w:rFonts w:eastAsia="方正黑体_GBK"/>
                <w:color w:val="000000"/>
                <w:kern w:val="0"/>
                <w:sz w:val="18"/>
                <w:szCs w:val="18"/>
              </w:rPr>
            </w:pPr>
            <w:r>
              <w:rPr>
                <w:rFonts w:hint="eastAsia" w:eastAsia="方正黑体_GBK"/>
                <w:color w:val="000000"/>
                <w:kern w:val="0"/>
                <w:sz w:val="18"/>
                <w:szCs w:val="18"/>
              </w:rPr>
              <w:t>得分</w:t>
            </w:r>
          </w:p>
        </w:tc>
        <w:tc>
          <w:tcPr>
            <w:tcW w:w="3120" w:type="dxa"/>
            <w:tcBorders>
              <w:top w:val="single" w:color="auto" w:sz="8" w:space="0"/>
            </w:tcBorders>
            <w:noWrap/>
            <w:vAlign w:val="center"/>
          </w:tcPr>
          <w:p>
            <w:pPr>
              <w:widowControl/>
              <w:jc w:val="center"/>
              <w:rPr>
                <w:rFonts w:eastAsia="方正黑体_GBK"/>
                <w:color w:val="000000"/>
                <w:kern w:val="0"/>
                <w:sz w:val="18"/>
                <w:szCs w:val="18"/>
              </w:rPr>
            </w:pPr>
            <w:r>
              <w:rPr>
                <w:rFonts w:hint="eastAsia" w:eastAsia="方正黑体_GBK"/>
                <w:color w:val="000000"/>
                <w:kern w:val="0"/>
                <w:sz w:val="18"/>
                <w:szCs w:val="18"/>
              </w:rPr>
              <w:t>信息采集来源和资料提供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00" w:type="dxa"/>
            <w:vMerge w:val="restart"/>
            <w:noWrap/>
            <w:vAlign w:val="center"/>
          </w:tcPr>
          <w:p>
            <w:pPr>
              <w:widowControl/>
              <w:jc w:val="center"/>
              <w:rPr>
                <w:color w:val="000000"/>
                <w:kern w:val="0"/>
                <w:sz w:val="18"/>
                <w:szCs w:val="18"/>
              </w:rPr>
            </w:pPr>
            <w:r>
              <w:rPr>
                <w:color w:val="000000"/>
                <w:kern w:val="0"/>
                <w:sz w:val="18"/>
                <w:szCs w:val="18"/>
              </w:rPr>
              <w:t>1</w:t>
            </w:r>
          </w:p>
        </w:tc>
        <w:tc>
          <w:tcPr>
            <w:tcW w:w="1173" w:type="dxa"/>
            <w:vMerge w:val="restart"/>
            <w:vAlign w:val="center"/>
          </w:tcPr>
          <w:p>
            <w:pPr>
              <w:widowControl/>
              <w:jc w:val="center"/>
              <w:rPr>
                <w:color w:val="000000"/>
                <w:kern w:val="0"/>
                <w:sz w:val="18"/>
                <w:szCs w:val="18"/>
              </w:rPr>
            </w:pPr>
            <w:r>
              <w:rPr>
                <w:rFonts w:hint="eastAsia" w:hAnsi="宋体"/>
                <w:color w:val="000000"/>
                <w:kern w:val="0"/>
                <w:sz w:val="18"/>
                <w:szCs w:val="18"/>
              </w:rPr>
              <w:t>违法违规</w:t>
            </w:r>
          </w:p>
          <w:p>
            <w:pPr>
              <w:widowControl/>
              <w:jc w:val="center"/>
              <w:rPr>
                <w:color w:val="000000"/>
                <w:kern w:val="0"/>
                <w:sz w:val="18"/>
                <w:szCs w:val="18"/>
              </w:rPr>
            </w:pPr>
            <w:r>
              <w:rPr>
                <w:rFonts w:hint="eastAsia" w:hAnsi="宋体"/>
                <w:color w:val="000000"/>
                <w:kern w:val="0"/>
                <w:sz w:val="18"/>
                <w:szCs w:val="18"/>
              </w:rPr>
              <w:t>经营行为</w:t>
            </w:r>
          </w:p>
        </w:tc>
        <w:tc>
          <w:tcPr>
            <w:tcW w:w="6711" w:type="dxa"/>
            <w:vAlign w:val="center"/>
          </w:tcPr>
          <w:p>
            <w:pPr>
              <w:widowControl/>
              <w:jc w:val="left"/>
              <w:rPr>
                <w:color w:val="000000"/>
                <w:kern w:val="0"/>
                <w:sz w:val="18"/>
                <w:szCs w:val="18"/>
              </w:rPr>
            </w:pPr>
            <w:r>
              <w:rPr>
                <w:color w:val="000000"/>
                <w:kern w:val="0"/>
                <w:sz w:val="18"/>
                <w:szCs w:val="18"/>
              </w:rPr>
              <w:t>1</w:t>
            </w:r>
            <w:r>
              <w:rPr>
                <w:rFonts w:hint="eastAsia" w:hAnsi="宋体"/>
                <w:color w:val="000000"/>
                <w:kern w:val="0"/>
                <w:sz w:val="18"/>
                <w:szCs w:val="18"/>
              </w:rPr>
              <w:t>、企业资质、企业经营、企业管理、企业工程造价咨询业务承发包等方面有违法、违规行为受到行政处罚的，计减</w:t>
            </w:r>
            <w:r>
              <w:rPr>
                <w:color w:val="000000"/>
                <w:kern w:val="0"/>
                <w:sz w:val="18"/>
                <w:szCs w:val="18"/>
              </w:rPr>
              <w:t>15</w:t>
            </w:r>
            <w:r>
              <w:rPr>
                <w:rFonts w:hint="eastAsia" w:hAnsi="宋体"/>
                <w:color w:val="000000"/>
                <w:kern w:val="0"/>
                <w:sz w:val="18"/>
                <w:szCs w:val="18"/>
              </w:rPr>
              <w:t>分。</w:t>
            </w:r>
          </w:p>
        </w:tc>
        <w:tc>
          <w:tcPr>
            <w:tcW w:w="1004" w:type="dxa"/>
            <w:noWrap/>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restart"/>
            <w:vAlign w:val="center"/>
          </w:tcPr>
          <w:p>
            <w:pPr>
              <w:widowControl/>
              <w:jc w:val="left"/>
              <w:rPr>
                <w:color w:val="000000"/>
                <w:kern w:val="0"/>
                <w:sz w:val="18"/>
                <w:szCs w:val="18"/>
              </w:rPr>
            </w:pPr>
            <w:r>
              <w:rPr>
                <w:rFonts w:hint="eastAsia" w:hAnsi="宋体"/>
                <w:color w:val="000000"/>
                <w:kern w:val="0"/>
                <w:sz w:val="18"/>
                <w:szCs w:val="18"/>
              </w:rPr>
              <w:t>不良行为认定依据：</w:t>
            </w:r>
          </w:p>
          <w:p>
            <w:pPr>
              <w:widowControl/>
              <w:jc w:val="left"/>
              <w:rPr>
                <w:color w:val="000000"/>
                <w:kern w:val="0"/>
                <w:sz w:val="18"/>
                <w:szCs w:val="18"/>
              </w:rPr>
            </w:pPr>
            <w:r>
              <w:rPr>
                <w:color w:val="000000"/>
                <w:kern w:val="0"/>
                <w:sz w:val="18"/>
                <w:szCs w:val="18"/>
              </w:rPr>
              <w:t>1</w:t>
            </w:r>
            <w:r>
              <w:rPr>
                <w:rFonts w:hint="eastAsia" w:hAnsi="宋体"/>
                <w:color w:val="000000"/>
                <w:kern w:val="0"/>
                <w:sz w:val="18"/>
                <w:szCs w:val="18"/>
              </w:rPr>
              <w:t>、已生效的判决书或仲裁裁决书；</w:t>
            </w:r>
          </w:p>
          <w:p>
            <w:pPr>
              <w:widowControl/>
              <w:jc w:val="left"/>
              <w:rPr>
                <w:color w:val="000000"/>
                <w:kern w:val="0"/>
                <w:sz w:val="18"/>
                <w:szCs w:val="18"/>
              </w:rPr>
            </w:pPr>
            <w:r>
              <w:rPr>
                <w:color w:val="000000"/>
                <w:kern w:val="0"/>
                <w:sz w:val="18"/>
                <w:szCs w:val="18"/>
              </w:rPr>
              <w:t>2</w:t>
            </w:r>
            <w:r>
              <w:rPr>
                <w:rFonts w:hint="eastAsia" w:hAnsi="宋体"/>
                <w:color w:val="000000"/>
                <w:kern w:val="0"/>
                <w:sz w:val="18"/>
                <w:szCs w:val="18"/>
              </w:rPr>
              <w:t>、已生效的行政处罚决定书；</w:t>
            </w:r>
          </w:p>
          <w:p>
            <w:pPr>
              <w:widowControl/>
              <w:jc w:val="left"/>
              <w:rPr>
                <w:color w:val="000000"/>
                <w:kern w:val="0"/>
                <w:sz w:val="18"/>
                <w:szCs w:val="18"/>
              </w:rPr>
            </w:pPr>
            <w:r>
              <w:rPr>
                <w:color w:val="000000"/>
                <w:kern w:val="0"/>
                <w:sz w:val="18"/>
                <w:szCs w:val="18"/>
              </w:rPr>
              <w:t>3</w:t>
            </w:r>
            <w:r>
              <w:rPr>
                <w:rFonts w:hint="eastAsia" w:hAnsi="宋体"/>
                <w:color w:val="000000"/>
                <w:kern w:val="0"/>
                <w:sz w:val="18"/>
                <w:szCs w:val="18"/>
              </w:rPr>
              <w:t>、各级建设行政主管部门、相关行政主管部门及执法部门签发的责令整改通知书、通报批评、</w:t>
            </w:r>
            <w:r>
              <w:rPr>
                <w:rFonts w:hint="eastAsia"/>
                <w:color w:val="000000"/>
                <w:kern w:val="0"/>
                <w:sz w:val="18"/>
                <w:szCs w:val="18"/>
              </w:rPr>
              <w:t>“</w:t>
            </w:r>
            <w:r>
              <w:rPr>
                <w:rFonts w:hint="eastAsia" w:hAnsi="宋体"/>
                <w:color w:val="000000"/>
                <w:kern w:val="0"/>
                <w:sz w:val="18"/>
                <w:szCs w:val="18"/>
              </w:rPr>
              <w:t>黄牌警告”等；</w:t>
            </w:r>
          </w:p>
          <w:p>
            <w:pPr>
              <w:widowControl/>
              <w:jc w:val="left"/>
              <w:rPr>
                <w:color w:val="000000"/>
                <w:kern w:val="0"/>
                <w:sz w:val="18"/>
                <w:szCs w:val="18"/>
              </w:rPr>
            </w:pPr>
            <w:r>
              <w:rPr>
                <w:color w:val="000000"/>
                <w:kern w:val="0"/>
                <w:sz w:val="18"/>
                <w:szCs w:val="18"/>
              </w:rPr>
              <w:t>4</w:t>
            </w:r>
            <w:r>
              <w:rPr>
                <w:rFonts w:hint="eastAsia" w:hAnsi="宋体"/>
                <w:color w:val="000000"/>
                <w:kern w:val="0"/>
                <w:sz w:val="18"/>
                <w:szCs w:val="18"/>
              </w:rPr>
              <w:t>、经有关职能部门或机构查证并作出处理决定的文书；</w:t>
            </w:r>
          </w:p>
          <w:p>
            <w:pPr>
              <w:widowControl/>
              <w:jc w:val="left"/>
              <w:rPr>
                <w:color w:val="000000"/>
                <w:kern w:val="0"/>
                <w:sz w:val="18"/>
                <w:szCs w:val="18"/>
              </w:rPr>
            </w:pPr>
            <w:r>
              <w:rPr>
                <w:color w:val="000000"/>
                <w:kern w:val="0"/>
                <w:sz w:val="18"/>
                <w:szCs w:val="18"/>
              </w:rPr>
              <w:t>5</w:t>
            </w:r>
            <w:r>
              <w:rPr>
                <w:rFonts w:hint="eastAsia" w:hAnsi="宋体"/>
                <w:color w:val="000000"/>
                <w:kern w:val="0"/>
                <w:sz w:val="18"/>
                <w:szCs w:val="18"/>
              </w:rPr>
              <w:t>、严重违反有关工程造价咨询规范、标准、规程、规则的行为。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2</w:t>
            </w:r>
            <w:r>
              <w:rPr>
                <w:rFonts w:hint="eastAsia" w:hAnsi="宋体"/>
                <w:color w:val="000000"/>
                <w:kern w:val="0"/>
                <w:sz w:val="18"/>
                <w:szCs w:val="18"/>
              </w:rPr>
              <w:t>、企业名称、组织机构、注册资本金，企业注册地、企业住所，企业法定代表人、企业技术负责人、股东结构等重要事项发生变化，逾期未办理变更手续，受到行政处罚或其它行政警告处理的，计减</w:t>
            </w:r>
            <w:r>
              <w:rPr>
                <w:color w:val="000000"/>
                <w:kern w:val="0"/>
                <w:sz w:val="18"/>
                <w:szCs w:val="18"/>
              </w:rPr>
              <w:t>10</w:t>
            </w:r>
            <w:r>
              <w:rPr>
                <w:rFonts w:hint="eastAsia" w:hAnsi="宋体"/>
                <w:color w:val="000000"/>
                <w:kern w:val="0"/>
                <w:sz w:val="18"/>
                <w:szCs w:val="18"/>
              </w:rPr>
              <w:t>分。</w:t>
            </w:r>
          </w:p>
        </w:tc>
        <w:tc>
          <w:tcPr>
            <w:tcW w:w="1004" w:type="dxa"/>
            <w:noWrap/>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3</w:t>
            </w:r>
            <w:r>
              <w:rPr>
                <w:rFonts w:hint="eastAsia" w:hAnsi="宋体"/>
                <w:color w:val="000000"/>
                <w:kern w:val="0"/>
                <w:sz w:val="18"/>
                <w:szCs w:val="18"/>
              </w:rPr>
              <w:t>、企业超越资质等级或业务范围承接工程造价咨询业务，受到行政处罚的计减</w:t>
            </w:r>
            <w:r>
              <w:rPr>
                <w:color w:val="000000"/>
                <w:kern w:val="0"/>
                <w:sz w:val="18"/>
                <w:szCs w:val="18"/>
              </w:rPr>
              <w:t>15</w:t>
            </w:r>
            <w:r>
              <w:rPr>
                <w:rFonts w:hint="eastAsia" w:hAnsi="宋体"/>
                <w:color w:val="000000"/>
                <w:kern w:val="0"/>
                <w:sz w:val="18"/>
                <w:szCs w:val="18"/>
              </w:rPr>
              <w:t>分；受到其它行政处理的计减</w:t>
            </w:r>
            <w:r>
              <w:rPr>
                <w:color w:val="000000"/>
                <w:kern w:val="0"/>
                <w:sz w:val="18"/>
                <w:szCs w:val="18"/>
              </w:rPr>
              <w:t>10</w:t>
            </w:r>
            <w:r>
              <w:rPr>
                <w:rFonts w:hint="eastAsia" w:hAnsi="宋体"/>
                <w:color w:val="000000"/>
                <w:kern w:val="0"/>
                <w:sz w:val="18"/>
                <w:szCs w:val="18"/>
              </w:rPr>
              <w:t>分。</w:t>
            </w:r>
          </w:p>
        </w:tc>
        <w:tc>
          <w:tcPr>
            <w:tcW w:w="1004" w:type="dxa"/>
            <w:noWrap/>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4</w:t>
            </w:r>
            <w:r>
              <w:rPr>
                <w:rFonts w:hint="eastAsia" w:hAnsi="宋体"/>
                <w:color w:val="000000"/>
                <w:kern w:val="0"/>
                <w:sz w:val="18"/>
                <w:szCs w:val="18"/>
              </w:rPr>
              <w:t>、企业有涂改、倒卖、出租、出借企业资质证书行为受到行政处罚的，计减</w:t>
            </w:r>
            <w:r>
              <w:rPr>
                <w:color w:val="000000"/>
                <w:kern w:val="0"/>
                <w:sz w:val="18"/>
                <w:szCs w:val="18"/>
              </w:rPr>
              <w:t>15</w:t>
            </w:r>
            <w:r>
              <w:rPr>
                <w:rFonts w:hint="eastAsia" w:hAnsi="宋体"/>
                <w:color w:val="000000"/>
                <w:kern w:val="0"/>
                <w:sz w:val="18"/>
                <w:szCs w:val="18"/>
              </w:rPr>
              <w:t>分；受到“黄牌警告”的，计减</w:t>
            </w:r>
            <w:r>
              <w:rPr>
                <w:color w:val="000000"/>
                <w:kern w:val="0"/>
                <w:sz w:val="18"/>
                <w:szCs w:val="18"/>
              </w:rPr>
              <w:t>10</w:t>
            </w:r>
            <w:r>
              <w:rPr>
                <w:rFonts w:hint="eastAsia" w:hAnsi="宋体"/>
                <w:color w:val="000000"/>
                <w:kern w:val="0"/>
                <w:sz w:val="18"/>
                <w:szCs w:val="18"/>
              </w:rPr>
              <w:t>分。</w:t>
            </w:r>
          </w:p>
        </w:tc>
        <w:tc>
          <w:tcPr>
            <w:tcW w:w="1004" w:type="dxa"/>
            <w:noWrap/>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5</w:t>
            </w:r>
            <w:r>
              <w:rPr>
                <w:rFonts w:hint="eastAsia" w:hAnsi="宋体"/>
                <w:color w:val="000000"/>
                <w:kern w:val="0"/>
                <w:sz w:val="18"/>
                <w:szCs w:val="18"/>
              </w:rPr>
              <w:t>、企业疏于分支机构（分公司）管理，有以分支机构（分公司）名义直接承揽工程造价咨询业务，或直接订立工程造价咨询合同，或直接出具工程造价成果文件的，计减</w:t>
            </w:r>
            <w:r>
              <w:rPr>
                <w:color w:val="000000"/>
                <w:kern w:val="0"/>
                <w:sz w:val="18"/>
                <w:szCs w:val="18"/>
              </w:rPr>
              <w:t>15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4</w:t>
            </w:r>
            <w:r>
              <w:rPr>
                <w:rFonts w:hint="eastAsia" w:hAnsi="宋体"/>
                <w:color w:val="000000"/>
                <w:kern w:val="0"/>
                <w:sz w:val="18"/>
                <w:szCs w:val="18"/>
              </w:rPr>
              <w:t>、企业同时接受招标人和投标人委托，对同一工程项目的工程造价咨询提供服务的，计减</w:t>
            </w:r>
            <w:r>
              <w:rPr>
                <w:color w:val="000000"/>
                <w:kern w:val="0"/>
                <w:sz w:val="18"/>
                <w:szCs w:val="18"/>
              </w:rPr>
              <w:t>10</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6</w:t>
            </w:r>
            <w:r>
              <w:rPr>
                <w:rFonts w:hint="eastAsia" w:hAnsi="宋体"/>
                <w:color w:val="000000"/>
                <w:kern w:val="0"/>
                <w:sz w:val="18"/>
                <w:szCs w:val="18"/>
              </w:rPr>
              <w:t>、企业同时接受两个以上投标人委托，对同一工程项目的工程造价咨询提供服务的，计减</w:t>
            </w:r>
            <w:r>
              <w:rPr>
                <w:color w:val="000000"/>
                <w:kern w:val="0"/>
                <w:sz w:val="18"/>
                <w:szCs w:val="18"/>
              </w:rPr>
              <w:t>10</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7</w:t>
            </w:r>
            <w:r>
              <w:rPr>
                <w:rFonts w:hint="eastAsia" w:hAnsi="宋体"/>
                <w:color w:val="000000"/>
                <w:kern w:val="0"/>
                <w:sz w:val="18"/>
                <w:szCs w:val="18"/>
              </w:rPr>
              <w:t>、企业分别接受双方当事人的委托，对同一工程项目的经济鉴证提供服务的，计减</w:t>
            </w:r>
            <w:r>
              <w:rPr>
                <w:color w:val="000000"/>
                <w:kern w:val="0"/>
                <w:sz w:val="18"/>
                <w:szCs w:val="18"/>
              </w:rPr>
              <w:t>10</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8</w:t>
            </w:r>
            <w:r>
              <w:rPr>
                <w:rFonts w:hint="eastAsia" w:hAnsi="宋体"/>
                <w:color w:val="000000"/>
                <w:kern w:val="0"/>
                <w:sz w:val="18"/>
                <w:szCs w:val="18"/>
              </w:rPr>
              <w:t>、企业转包承接的工程造价咨询业务造成恶劣影响，并受到行政处罚或其它处理的，计减</w:t>
            </w:r>
            <w:r>
              <w:rPr>
                <w:color w:val="000000"/>
                <w:kern w:val="0"/>
                <w:sz w:val="18"/>
                <w:szCs w:val="18"/>
              </w:rPr>
              <w:t>10</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9</w:t>
            </w:r>
            <w:r>
              <w:rPr>
                <w:rFonts w:hint="eastAsia" w:hAnsi="宋体"/>
                <w:color w:val="000000"/>
                <w:kern w:val="0"/>
                <w:sz w:val="18"/>
                <w:szCs w:val="18"/>
              </w:rPr>
              <w:t>、企业泄露当事人商业秘密或技术秘密造成恶劣影响，并受到行政处罚或其它处理的，计减</w:t>
            </w:r>
            <w:r>
              <w:rPr>
                <w:color w:val="000000"/>
                <w:kern w:val="0"/>
                <w:sz w:val="18"/>
                <w:szCs w:val="18"/>
              </w:rPr>
              <w:t>10</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00" w:type="dxa"/>
            <w:vMerge w:val="restart"/>
            <w:vAlign w:val="center"/>
          </w:tcPr>
          <w:p>
            <w:pPr>
              <w:widowControl/>
              <w:jc w:val="center"/>
              <w:rPr>
                <w:color w:val="000000"/>
                <w:kern w:val="0"/>
                <w:sz w:val="18"/>
                <w:szCs w:val="18"/>
              </w:rPr>
            </w:pPr>
            <w:r>
              <w:rPr>
                <w:color w:val="000000"/>
                <w:kern w:val="0"/>
                <w:sz w:val="18"/>
                <w:szCs w:val="18"/>
              </w:rPr>
              <w:t>1</w:t>
            </w:r>
          </w:p>
        </w:tc>
        <w:tc>
          <w:tcPr>
            <w:tcW w:w="1173" w:type="dxa"/>
            <w:vMerge w:val="restart"/>
            <w:vAlign w:val="center"/>
          </w:tcPr>
          <w:p>
            <w:pPr>
              <w:widowControl/>
              <w:jc w:val="center"/>
              <w:rPr>
                <w:color w:val="000000"/>
                <w:kern w:val="0"/>
                <w:sz w:val="18"/>
                <w:szCs w:val="18"/>
              </w:rPr>
            </w:pPr>
            <w:r>
              <w:rPr>
                <w:rFonts w:hint="eastAsia" w:hAnsi="宋体"/>
                <w:color w:val="000000"/>
                <w:kern w:val="0"/>
                <w:sz w:val="18"/>
                <w:szCs w:val="18"/>
              </w:rPr>
              <w:t>违法违规</w:t>
            </w:r>
          </w:p>
          <w:p>
            <w:pPr>
              <w:widowControl/>
              <w:jc w:val="center"/>
              <w:rPr>
                <w:color w:val="000000"/>
                <w:kern w:val="0"/>
                <w:sz w:val="18"/>
                <w:szCs w:val="18"/>
              </w:rPr>
            </w:pPr>
            <w:r>
              <w:rPr>
                <w:rFonts w:hint="eastAsia" w:hAnsi="宋体"/>
                <w:color w:val="000000"/>
                <w:kern w:val="0"/>
                <w:sz w:val="18"/>
                <w:szCs w:val="18"/>
              </w:rPr>
              <w:t>经营行为</w:t>
            </w:r>
          </w:p>
        </w:tc>
        <w:tc>
          <w:tcPr>
            <w:tcW w:w="6711" w:type="dxa"/>
            <w:vAlign w:val="center"/>
          </w:tcPr>
          <w:p>
            <w:pPr>
              <w:widowControl/>
              <w:jc w:val="left"/>
              <w:rPr>
                <w:color w:val="000000"/>
                <w:kern w:val="0"/>
                <w:sz w:val="18"/>
                <w:szCs w:val="18"/>
              </w:rPr>
            </w:pPr>
            <w:r>
              <w:rPr>
                <w:color w:val="000000"/>
                <w:kern w:val="0"/>
                <w:sz w:val="18"/>
                <w:szCs w:val="18"/>
              </w:rPr>
              <w:t>10</w:t>
            </w:r>
            <w:r>
              <w:rPr>
                <w:rFonts w:hint="eastAsia" w:hAnsi="宋体"/>
                <w:color w:val="000000"/>
                <w:kern w:val="0"/>
                <w:sz w:val="18"/>
                <w:szCs w:val="18"/>
              </w:rPr>
              <w:t>、企业或企业员工以给予回扣、利益输送等方式参与不正当竞争造成恶劣影响，并受到行政处罚或其它处理的，计减</w:t>
            </w:r>
            <w:r>
              <w:rPr>
                <w:color w:val="000000"/>
                <w:kern w:val="0"/>
                <w:sz w:val="18"/>
                <w:szCs w:val="18"/>
              </w:rPr>
              <w:t>10</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restart"/>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11</w:t>
            </w:r>
            <w:r>
              <w:rPr>
                <w:rFonts w:hint="eastAsia" w:hAnsi="宋体"/>
                <w:color w:val="000000"/>
                <w:kern w:val="0"/>
                <w:sz w:val="18"/>
                <w:szCs w:val="18"/>
              </w:rPr>
              <w:t>、企业与当事人签订的工程造价咨询业务合同，涉嫌欺诈，造成恶劣影响，并受到行政处罚或其它处理的，计减</w:t>
            </w:r>
            <w:r>
              <w:rPr>
                <w:color w:val="000000"/>
                <w:kern w:val="0"/>
                <w:sz w:val="18"/>
                <w:szCs w:val="18"/>
              </w:rPr>
              <w:t>10</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12</w:t>
            </w:r>
            <w:r>
              <w:rPr>
                <w:rFonts w:hint="eastAsia" w:hAnsi="宋体"/>
                <w:color w:val="000000"/>
                <w:kern w:val="0"/>
                <w:sz w:val="18"/>
                <w:szCs w:val="18"/>
              </w:rPr>
              <w:t>、申请工程造价咨询资质的企业隐瞒有关情况或承诺事项与实际情况不符的，经查实计减</w:t>
            </w:r>
            <w:r>
              <w:rPr>
                <w:color w:val="000000"/>
                <w:kern w:val="0"/>
                <w:sz w:val="18"/>
                <w:szCs w:val="18"/>
              </w:rPr>
              <w:t>15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13</w:t>
            </w:r>
            <w:r>
              <w:rPr>
                <w:rFonts w:hint="eastAsia" w:hAnsi="宋体"/>
                <w:color w:val="000000"/>
                <w:kern w:val="0"/>
                <w:sz w:val="18"/>
                <w:szCs w:val="18"/>
              </w:rPr>
              <w:t>、以欺骗等不正当手段或承诺事项与实际情况不符取得工程造价咨询资质的，经查实计减</w:t>
            </w:r>
            <w:r>
              <w:rPr>
                <w:color w:val="000000"/>
                <w:kern w:val="0"/>
                <w:sz w:val="18"/>
                <w:szCs w:val="18"/>
              </w:rPr>
              <w:t>15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14</w:t>
            </w:r>
            <w:r>
              <w:rPr>
                <w:rFonts w:hint="eastAsia" w:hAnsi="宋体"/>
                <w:color w:val="000000"/>
                <w:kern w:val="0"/>
                <w:sz w:val="18"/>
                <w:szCs w:val="18"/>
              </w:rPr>
              <w:t>、企业或企业员工在从事造价咨询活动中违法违规受到刑事处罚的，计减</w:t>
            </w:r>
            <w:r>
              <w:rPr>
                <w:color w:val="000000"/>
                <w:kern w:val="0"/>
                <w:sz w:val="18"/>
                <w:szCs w:val="18"/>
              </w:rPr>
              <w:t>15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00" w:type="dxa"/>
            <w:vMerge w:val="restart"/>
            <w:noWrap/>
            <w:vAlign w:val="center"/>
          </w:tcPr>
          <w:p>
            <w:pPr>
              <w:widowControl/>
              <w:jc w:val="center"/>
              <w:rPr>
                <w:color w:val="000000"/>
                <w:kern w:val="0"/>
                <w:sz w:val="18"/>
                <w:szCs w:val="18"/>
              </w:rPr>
            </w:pPr>
            <w:r>
              <w:rPr>
                <w:color w:val="000000"/>
                <w:kern w:val="0"/>
                <w:sz w:val="18"/>
                <w:szCs w:val="18"/>
              </w:rPr>
              <w:t>2</w:t>
            </w:r>
          </w:p>
        </w:tc>
        <w:tc>
          <w:tcPr>
            <w:tcW w:w="1173" w:type="dxa"/>
            <w:vMerge w:val="restart"/>
            <w:vAlign w:val="center"/>
          </w:tcPr>
          <w:p>
            <w:pPr>
              <w:widowControl/>
              <w:jc w:val="center"/>
              <w:rPr>
                <w:color w:val="000000"/>
                <w:kern w:val="0"/>
                <w:sz w:val="18"/>
                <w:szCs w:val="18"/>
              </w:rPr>
            </w:pPr>
            <w:r>
              <w:rPr>
                <w:rFonts w:hint="eastAsia" w:hAnsi="宋体"/>
                <w:color w:val="000000"/>
                <w:kern w:val="0"/>
                <w:sz w:val="18"/>
                <w:szCs w:val="18"/>
              </w:rPr>
              <w:t>违法劳动</w:t>
            </w:r>
          </w:p>
          <w:p>
            <w:pPr>
              <w:widowControl/>
              <w:jc w:val="center"/>
              <w:rPr>
                <w:color w:val="000000"/>
                <w:kern w:val="0"/>
                <w:sz w:val="18"/>
                <w:szCs w:val="18"/>
              </w:rPr>
            </w:pPr>
            <w:r>
              <w:rPr>
                <w:rFonts w:hint="eastAsia" w:hAnsi="宋体"/>
                <w:color w:val="000000"/>
                <w:kern w:val="0"/>
                <w:sz w:val="18"/>
                <w:szCs w:val="18"/>
              </w:rPr>
              <w:t>用工行为</w:t>
            </w:r>
          </w:p>
        </w:tc>
        <w:tc>
          <w:tcPr>
            <w:tcW w:w="6711" w:type="dxa"/>
            <w:vAlign w:val="center"/>
          </w:tcPr>
          <w:p>
            <w:pPr>
              <w:widowControl/>
              <w:jc w:val="left"/>
              <w:rPr>
                <w:color w:val="000000"/>
                <w:kern w:val="0"/>
                <w:sz w:val="18"/>
                <w:szCs w:val="18"/>
              </w:rPr>
            </w:pPr>
            <w:r>
              <w:rPr>
                <w:color w:val="000000"/>
                <w:kern w:val="0"/>
                <w:sz w:val="18"/>
                <w:szCs w:val="18"/>
              </w:rPr>
              <w:t>1</w:t>
            </w:r>
            <w:r>
              <w:rPr>
                <w:rFonts w:hint="eastAsia" w:hAnsi="宋体"/>
                <w:color w:val="000000"/>
                <w:kern w:val="0"/>
                <w:sz w:val="18"/>
                <w:szCs w:val="18"/>
              </w:rPr>
              <w:t>、企业不与员工签订劳动合同的，计减</w:t>
            </w:r>
            <w:r>
              <w:rPr>
                <w:color w:val="000000"/>
                <w:kern w:val="0"/>
                <w:sz w:val="18"/>
                <w:szCs w:val="18"/>
              </w:rPr>
              <w:t>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2</w:t>
            </w:r>
            <w:r>
              <w:rPr>
                <w:rFonts w:hint="eastAsia" w:hAnsi="宋体"/>
                <w:color w:val="000000"/>
                <w:kern w:val="0"/>
                <w:sz w:val="18"/>
                <w:szCs w:val="18"/>
              </w:rPr>
              <w:t>、企业拖欠员工工资造成恶劣影响，受到行政处罚或受到其它处理的，计减</w:t>
            </w:r>
            <w:r>
              <w:rPr>
                <w:color w:val="000000"/>
                <w:kern w:val="0"/>
                <w:sz w:val="18"/>
                <w:szCs w:val="18"/>
              </w:rPr>
              <w:t>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3</w:t>
            </w:r>
            <w:r>
              <w:rPr>
                <w:rFonts w:hint="eastAsia" w:hAnsi="宋体"/>
                <w:color w:val="000000"/>
                <w:kern w:val="0"/>
                <w:sz w:val="18"/>
                <w:szCs w:val="18"/>
              </w:rPr>
              <w:t>、企业用工违反劳动法侵害员工合法权益，被投诉查实的，按劳动纠纷案例计，每一例计减</w:t>
            </w:r>
            <w:r>
              <w:rPr>
                <w:color w:val="000000"/>
                <w:kern w:val="0"/>
                <w:sz w:val="18"/>
                <w:szCs w:val="18"/>
              </w:rPr>
              <w:t>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4</w:t>
            </w:r>
            <w:r>
              <w:rPr>
                <w:rFonts w:hint="eastAsia" w:hAnsi="宋体"/>
                <w:color w:val="000000"/>
                <w:kern w:val="0"/>
                <w:sz w:val="18"/>
                <w:szCs w:val="18"/>
              </w:rPr>
              <w:t>、企业扣押已解除劳动关系员工执业资格证、职业资格证、职称证，被投诉查实的，按劳动纠纷案例计，每一例计减</w:t>
            </w:r>
            <w:r>
              <w:rPr>
                <w:color w:val="000000"/>
                <w:kern w:val="0"/>
                <w:sz w:val="18"/>
                <w:szCs w:val="18"/>
              </w:rPr>
              <w:t>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00" w:type="dxa"/>
            <w:vMerge w:val="restart"/>
            <w:noWrap/>
            <w:vAlign w:val="center"/>
          </w:tcPr>
          <w:p>
            <w:pPr>
              <w:widowControl/>
              <w:jc w:val="center"/>
              <w:rPr>
                <w:color w:val="000000"/>
                <w:kern w:val="0"/>
                <w:sz w:val="18"/>
                <w:szCs w:val="18"/>
              </w:rPr>
            </w:pPr>
            <w:r>
              <w:rPr>
                <w:color w:val="000000"/>
                <w:kern w:val="0"/>
                <w:sz w:val="18"/>
                <w:szCs w:val="18"/>
              </w:rPr>
              <w:t>3</w:t>
            </w:r>
          </w:p>
        </w:tc>
        <w:tc>
          <w:tcPr>
            <w:tcW w:w="1173" w:type="dxa"/>
            <w:vMerge w:val="restart"/>
            <w:noWrap/>
            <w:vAlign w:val="center"/>
          </w:tcPr>
          <w:p>
            <w:pPr>
              <w:widowControl/>
              <w:jc w:val="center"/>
              <w:rPr>
                <w:rFonts w:hAnsi="宋体"/>
                <w:color w:val="000000"/>
                <w:kern w:val="0"/>
                <w:sz w:val="18"/>
                <w:szCs w:val="18"/>
              </w:rPr>
            </w:pPr>
            <w:r>
              <w:rPr>
                <w:rFonts w:hint="eastAsia" w:hAnsi="宋体"/>
                <w:color w:val="000000"/>
                <w:kern w:val="0"/>
                <w:sz w:val="18"/>
                <w:szCs w:val="18"/>
              </w:rPr>
              <w:t>不良行业</w:t>
            </w:r>
          </w:p>
          <w:p>
            <w:pPr>
              <w:widowControl/>
              <w:jc w:val="center"/>
              <w:rPr>
                <w:color w:val="000000"/>
                <w:kern w:val="0"/>
                <w:sz w:val="18"/>
                <w:szCs w:val="18"/>
              </w:rPr>
            </w:pPr>
            <w:r>
              <w:rPr>
                <w:rFonts w:hint="eastAsia" w:hAnsi="宋体"/>
                <w:color w:val="000000"/>
                <w:kern w:val="0"/>
                <w:sz w:val="18"/>
                <w:szCs w:val="18"/>
              </w:rPr>
              <w:t>行为</w:t>
            </w:r>
          </w:p>
        </w:tc>
        <w:tc>
          <w:tcPr>
            <w:tcW w:w="6711" w:type="dxa"/>
            <w:vAlign w:val="center"/>
          </w:tcPr>
          <w:p>
            <w:pPr>
              <w:widowControl/>
              <w:jc w:val="left"/>
              <w:rPr>
                <w:color w:val="000000"/>
                <w:kern w:val="0"/>
                <w:sz w:val="18"/>
                <w:szCs w:val="18"/>
              </w:rPr>
            </w:pPr>
            <w:r>
              <w:rPr>
                <w:color w:val="000000"/>
                <w:kern w:val="0"/>
                <w:sz w:val="18"/>
                <w:szCs w:val="18"/>
              </w:rPr>
              <w:t>1</w:t>
            </w:r>
            <w:r>
              <w:rPr>
                <w:rFonts w:hint="eastAsia" w:hAnsi="宋体"/>
                <w:color w:val="000000"/>
                <w:kern w:val="0"/>
                <w:sz w:val="18"/>
                <w:szCs w:val="18"/>
              </w:rPr>
              <w:t>、企业在金融保险机构有资产、信贷、担保、抵押、保险等方面不良信用记录的，计减</w:t>
            </w:r>
            <w:r>
              <w:rPr>
                <w:color w:val="000000"/>
                <w:kern w:val="0"/>
                <w:sz w:val="18"/>
                <w:szCs w:val="18"/>
              </w:rPr>
              <w:t>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2</w:t>
            </w:r>
            <w:r>
              <w:rPr>
                <w:rFonts w:hint="eastAsia" w:hAnsi="宋体"/>
                <w:color w:val="000000"/>
                <w:kern w:val="0"/>
                <w:sz w:val="18"/>
                <w:szCs w:val="18"/>
              </w:rPr>
              <w:t>、企业在工商、税务、审计、劳动、司法等机关部门有不良信用记录的，计减</w:t>
            </w:r>
            <w:r>
              <w:rPr>
                <w:color w:val="000000"/>
                <w:kern w:val="0"/>
                <w:sz w:val="18"/>
                <w:szCs w:val="18"/>
              </w:rPr>
              <w:t>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3</w:t>
            </w:r>
            <w:r>
              <w:rPr>
                <w:rFonts w:hint="eastAsia" w:hAnsi="宋体"/>
                <w:color w:val="000000"/>
                <w:kern w:val="0"/>
                <w:sz w:val="18"/>
                <w:szCs w:val="18"/>
              </w:rPr>
              <w:t>、企业拒绝接受省市造价管理机构监督检查，或拒绝提供反映企业经营活动情况真实材料的，计减</w:t>
            </w:r>
            <w:r>
              <w:rPr>
                <w:color w:val="000000"/>
                <w:kern w:val="0"/>
                <w:sz w:val="18"/>
                <w:szCs w:val="18"/>
              </w:rPr>
              <w:t>10</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4</w:t>
            </w:r>
            <w:r>
              <w:rPr>
                <w:rFonts w:hint="eastAsia" w:hAnsi="宋体"/>
                <w:color w:val="000000"/>
                <w:kern w:val="0"/>
                <w:sz w:val="18"/>
                <w:szCs w:val="18"/>
              </w:rPr>
              <w:t>、在省市造价管理机构组织的“双随机”检查活动中，企业被定为“不合格”，并受到“通报批评”“责令整改”“黄牌警告”的，以“双随机”检查活动的次数计，每次计减</w:t>
            </w:r>
            <w:r>
              <w:rPr>
                <w:color w:val="000000"/>
                <w:kern w:val="0"/>
                <w:sz w:val="18"/>
                <w:szCs w:val="18"/>
              </w:rPr>
              <w:t>2</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0" w:type="dxa"/>
            <w:vMerge w:val="restart"/>
            <w:vAlign w:val="center"/>
          </w:tcPr>
          <w:p>
            <w:pPr>
              <w:widowControl/>
              <w:jc w:val="center"/>
              <w:rPr>
                <w:color w:val="000000"/>
                <w:kern w:val="0"/>
                <w:sz w:val="18"/>
                <w:szCs w:val="18"/>
              </w:rPr>
            </w:pPr>
            <w:r>
              <w:rPr>
                <w:color w:val="000000"/>
                <w:kern w:val="0"/>
                <w:sz w:val="18"/>
                <w:szCs w:val="18"/>
              </w:rPr>
              <w:t>3</w:t>
            </w:r>
          </w:p>
        </w:tc>
        <w:tc>
          <w:tcPr>
            <w:tcW w:w="1173" w:type="dxa"/>
            <w:vMerge w:val="restart"/>
            <w:vAlign w:val="center"/>
          </w:tcPr>
          <w:p>
            <w:pPr>
              <w:widowControl/>
              <w:jc w:val="center"/>
              <w:rPr>
                <w:rFonts w:hAnsi="宋体"/>
                <w:color w:val="000000"/>
                <w:kern w:val="0"/>
                <w:sz w:val="18"/>
                <w:szCs w:val="18"/>
              </w:rPr>
            </w:pPr>
            <w:r>
              <w:rPr>
                <w:rFonts w:hint="eastAsia" w:hAnsi="宋体"/>
                <w:color w:val="000000"/>
                <w:kern w:val="0"/>
                <w:sz w:val="18"/>
                <w:szCs w:val="18"/>
              </w:rPr>
              <w:t>不良行业</w:t>
            </w:r>
          </w:p>
          <w:p>
            <w:pPr>
              <w:widowControl/>
              <w:jc w:val="center"/>
              <w:rPr>
                <w:color w:val="000000"/>
                <w:kern w:val="0"/>
                <w:sz w:val="18"/>
                <w:szCs w:val="18"/>
              </w:rPr>
            </w:pPr>
            <w:r>
              <w:rPr>
                <w:rFonts w:hint="eastAsia" w:hAnsi="宋体"/>
                <w:color w:val="000000"/>
                <w:kern w:val="0"/>
                <w:sz w:val="18"/>
                <w:szCs w:val="18"/>
              </w:rPr>
              <w:t>行为</w:t>
            </w:r>
          </w:p>
        </w:tc>
        <w:tc>
          <w:tcPr>
            <w:tcW w:w="6711" w:type="dxa"/>
            <w:vAlign w:val="center"/>
          </w:tcPr>
          <w:p>
            <w:pPr>
              <w:widowControl/>
              <w:jc w:val="left"/>
              <w:rPr>
                <w:color w:val="000000"/>
                <w:kern w:val="0"/>
                <w:sz w:val="18"/>
                <w:szCs w:val="18"/>
              </w:rPr>
            </w:pPr>
            <w:r>
              <w:rPr>
                <w:color w:val="000000"/>
                <w:kern w:val="0"/>
                <w:sz w:val="18"/>
                <w:szCs w:val="18"/>
              </w:rPr>
              <w:t>5</w:t>
            </w:r>
            <w:r>
              <w:rPr>
                <w:rFonts w:hint="eastAsia" w:hAnsi="宋体"/>
                <w:color w:val="000000"/>
                <w:kern w:val="0"/>
                <w:sz w:val="18"/>
                <w:szCs w:val="18"/>
              </w:rPr>
              <w:t>、企业或企业员工阻挠委托人委托其他工程造价咨询单位参与咨询服务的，计减</w:t>
            </w:r>
            <w:r>
              <w:rPr>
                <w:color w:val="000000"/>
                <w:kern w:val="0"/>
                <w:sz w:val="18"/>
                <w:szCs w:val="18"/>
              </w:rPr>
              <w:t>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restart"/>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00" w:type="dxa"/>
            <w:vMerge w:val="continue"/>
            <w:vAlign w:val="center"/>
          </w:tcPr>
          <w:p>
            <w:pPr>
              <w:jc w:val="center"/>
              <w:rPr>
                <w:color w:val="000000"/>
                <w:kern w:val="0"/>
                <w:sz w:val="18"/>
                <w:szCs w:val="18"/>
              </w:rPr>
            </w:pPr>
          </w:p>
        </w:tc>
        <w:tc>
          <w:tcPr>
            <w:tcW w:w="1173" w:type="dxa"/>
            <w:vMerge w:val="continue"/>
            <w:vAlign w:val="center"/>
          </w:tcPr>
          <w:p>
            <w:pPr>
              <w:jc w:val="center"/>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6</w:t>
            </w:r>
            <w:r>
              <w:rPr>
                <w:rFonts w:hint="eastAsia" w:hAnsi="宋体"/>
                <w:color w:val="000000"/>
                <w:kern w:val="0"/>
                <w:sz w:val="18"/>
                <w:szCs w:val="18"/>
              </w:rPr>
              <w:t>、企业在工程咨询活动中，采信虚假量价信息，或编制不实计价清单，或撰写误导性咨询报告，有失客观、公正、诚信原则的，按不良成果文件计，每一例计减</w:t>
            </w:r>
            <w:r>
              <w:rPr>
                <w:color w:val="000000"/>
                <w:kern w:val="0"/>
                <w:sz w:val="18"/>
                <w:szCs w:val="18"/>
              </w:rPr>
              <w:t>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00" w:type="dxa"/>
            <w:vMerge w:val="continue"/>
            <w:vAlign w:val="center"/>
          </w:tcPr>
          <w:p>
            <w:pPr>
              <w:jc w:val="center"/>
              <w:rPr>
                <w:color w:val="000000"/>
                <w:kern w:val="0"/>
                <w:sz w:val="18"/>
                <w:szCs w:val="18"/>
              </w:rPr>
            </w:pPr>
          </w:p>
        </w:tc>
        <w:tc>
          <w:tcPr>
            <w:tcW w:w="1173" w:type="dxa"/>
            <w:vMerge w:val="continue"/>
            <w:vAlign w:val="center"/>
          </w:tcPr>
          <w:p>
            <w:pPr>
              <w:jc w:val="center"/>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7</w:t>
            </w:r>
            <w:r>
              <w:rPr>
                <w:rFonts w:hint="eastAsia" w:hAnsi="宋体"/>
                <w:color w:val="000000"/>
                <w:kern w:val="0"/>
                <w:sz w:val="18"/>
                <w:szCs w:val="18"/>
              </w:rPr>
              <w:t>、企业过错给当事人或其他利益相关人造成重大经济损失，影响恶劣的，计减</w:t>
            </w:r>
            <w:r>
              <w:rPr>
                <w:color w:val="000000"/>
                <w:kern w:val="0"/>
                <w:sz w:val="18"/>
                <w:szCs w:val="18"/>
              </w:rPr>
              <w:t>5</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00" w:type="dxa"/>
            <w:vMerge w:val="continue"/>
            <w:noWrap/>
            <w:vAlign w:val="center"/>
          </w:tcPr>
          <w:p>
            <w:pPr>
              <w:jc w:val="center"/>
              <w:rPr>
                <w:color w:val="000000"/>
                <w:kern w:val="0"/>
                <w:sz w:val="18"/>
                <w:szCs w:val="18"/>
              </w:rPr>
            </w:pPr>
          </w:p>
        </w:tc>
        <w:tc>
          <w:tcPr>
            <w:tcW w:w="1173" w:type="dxa"/>
            <w:vMerge w:val="continue"/>
            <w:noWrap/>
            <w:vAlign w:val="center"/>
          </w:tcPr>
          <w:p>
            <w:pPr>
              <w:jc w:val="center"/>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8</w:t>
            </w:r>
            <w:r>
              <w:rPr>
                <w:rFonts w:hint="eastAsia" w:hAnsi="宋体"/>
                <w:color w:val="000000"/>
                <w:kern w:val="0"/>
                <w:sz w:val="18"/>
                <w:szCs w:val="18"/>
              </w:rPr>
              <w:t>、咨询项目填报不及时，不规范，受到省市造价管理机构通报批评的，每次计减</w:t>
            </w:r>
            <w:r>
              <w:rPr>
                <w:color w:val="000000"/>
                <w:kern w:val="0"/>
                <w:sz w:val="18"/>
                <w:szCs w:val="18"/>
              </w:rPr>
              <w:t>2</w:t>
            </w:r>
            <w:r>
              <w:rPr>
                <w:rFonts w:hint="eastAsia" w:hAnsi="宋体"/>
                <w:color w:val="000000"/>
                <w:kern w:val="0"/>
                <w:sz w:val="18"/>
                <w:szCs w:val="18"/>
              </w:rPr>
              <w:t>分。</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00" w:type="dxa"/>
            <w:vMerge w:val="continue"/>
            <w:noWrap/>
            <w:vAlign w:val="center"/>
          </w:tcPr>
          <w:p>
            <w:pPr>
              <w:widowControl/>
              <w:jc w:val="center"/>
              <w:rPr>
                <w:color w:val="000000"/>
                <w:kern w:val="0"/>
                <w:sz w:val="18"/>
                <w:szCs w:val="18"/>
              </w:rPr>
            </w:pPr>
          </w:p>
        </w:tc>
        <w:tc>
          <w:tcPr>
            <w:tcW w:w="1173" w:type="dxa"/>
            <w:vMerge w:val="continue"/>
            <w:noWrap/>
            <w:vAlign w:val="center"/>
          </w:tcPr>
          <w:p>
            <w:pPr>
              <w:widowControl/>
              <w:jc w:val="center"/>
              <w:rPr>
                <w:color w:val="000000"/>
                <w:kern w:val="0"/>
                <w:sz w:val="18"/>
                <w:szCs w:val="18"/>
              </w:rPr>
            </w:pPr>
          </w:p>
        </w:tc>
        <w:tc>
          <w:tcPr>
            <w:tcW w:w="6711" w:type="dxa"/>
            <w:vAlign w:val="center"/>
          </w:tcPr>
          <w:p>
            <w:pPr>
              <w:widowControl/>
              <w:jc w:val="left"/>
              <w:rPr>
                <w:color w:val="000000"/>
                <w:kern w:val="0"/>
                <w:sz w:val="18"/>
                <w:szCs w:val="18"/>
              </w:rPr>
            </w:pPr>
            <w:r>
              <w:rPr>
                <w:color w:val="000000"/>
                <w:kern w:val="0"/>
                <w:sz w:val="18"/>
                <w:szCs w:val="18"/>
              </w:rPr>
              <w:t>9</w:t>
            </w:r>
            <w:r>
              <w:rPr>
                <w:rFonts w:hint="eastAsia" w:hAnsi="宋体"/>
                <w:color w:val="000000"/>
                <w:kern w:val="0"/>
                <w:sz w:val="18"/>
                <w:szCs w:val="18"/>
              </w:rPr>
              <w:t>、工程造价咨询统计报表制度执行不好，填报不及时，数据严重失实，受到省市造价管理机构通报批评的，每次计减</w:t>
            </w:r>
            <w:r>
              <w:rPr>
                <w:color w:val="000000"/>
                <w:kern w:val="0"/>
                <w:sz w:val="18"/>
                <w:szCs w:val="18"/>
              </w:rPr>
              <w:t>2</w:t>
            </w:r>
            <w:r>
              <w:rPr>
                <w:rFonts w:hint="eastAsia" w:hAnsi="宋体"/>
                <w:color w:val="000000"/>
                <w:kern w:val="0"/>
                <w:sz w:val="18"/>
                <w:szCs w:val="18"/>
              </w:rPr>
              <w:t>分。</w:t>
            </w:r>
          </w:p>
        </w:tc>
        <w:tc>
          <w:tcPr>
            <w:tcW w:w="1004" w:type="dxa"/>
            <w:noWrap/>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00" w:type="dxa"/>
            <w:vMerge w:val="restart"/>
            <w:noWrap/>
            <w:vAlign w:val="center"/>
          </w:tcPr>
          <w:p>
            <w:pPr>
              <w:widowControl/>
              <w:jc w:val="center"/>
              <w:rPr>
                <w:color w:val="000000"/>
                <w:kern w:val="0"/>
                <w:sz w:val="18"/>
                <w:szCs w:val="18"/>
              </w:rPr>
            </w:pPr>
            <w:r>
              <w:rPr>
                <w:color w:val="000000"/>
                <w:kern w:val="0"/>
                <w:sz w:val="18"/>
                <w:szCs w:val="18"/>
              </w:rPr>
              <w:t>4</w:t>
            </w:r>
          </w:p>
        </w:tc>
        <w:tc>
          <w:tcPr>
            <w:tcW w:w="1173" w:type="dxa"/>
            <w:vMerge w:val="restart"/>
            <w:noWrap/>
            <w:vAlign w:val="center"/>
          </w:tcPr>
          <w:p>
            <w:pPr>
              <w:widowControl/>
              <w:jc w:val="center"/>
              <w:rPr>
                <w:rFonts w:hAnsi="宋体"/>
                <w:color w:val="000000"/>
                <w:kern w:val="0"/>
                <w:sz w:val="18"/>
                <w:szCs w:val="18"/>
              </w:rPr>
            </w:pPr>
            <w:r>
              <w:rPr>
                <w:rFonts w:hint="eastAsia" w:hAnsi="宋体"/>
                <w:color w:val="000000"/>
                <w:kern w:val="0"/>
                <w:sz w:val="18"/>
                <w:szCs w:val="18"/>
              </w:rPr>
              <w:t>（各市自主</w:t>
            </w:r>
          </w:p>
          <w:p>
            <w:pPr>
              <w:widowControl/>
              <w:jc w:val="center"/>
              <w:rPr>
                <w:color w:val="000000"/>
                <w:kern w:val="0"/>
                <w:sz w:val="18"/>
                <w:szCs w:val="18"/>
              </w:rPr>
            </w:pPr>
            <w:r>
              <w:rPr>
                <w:rFonts w:hint="eastAsia" w:hAnsi="宋体"/>
                <w:color w:val="000000"/>
                <w:kern w:val="0"/>
                <w:sz w:val="18"/>
                <w:szCs w:val="18"/>
              </w:rPr>
              <w:t>评价项）</w:t>
            </w:r>
          </w:p>
        </w:tc>
        <w:tc>
          <w:tcPr>
            <w:tcW w:w="6711" w:type="dxa"/>
            <w:vAlign w:val="center"/>
          </w:tcPr>
          <w:p>
            <w:pPr>
              <w:widowControl/>
              <w:jc w:val="left"/>
              <w:rPr>
                <w:color w:val="000000"/>
                <w:kern w:val="0"/>
                <w:sz w:val="18"/>
                <w:szCs w:val="18"/>
              </w:rPr>
            </w:pPr>
            <w:r>
              <w:rPr>
                <w:rFonts w:hint="eastAsia"/>
                <w:color w:val="000000"/>
                <w:kern w:val="0"/>
                <w:sz w:val="18"/>
                <w:szCs w:val="18"/>
              </w:rPr>
              <w:t>（</w:t>
            </w:r>
            <w:r>
              <w:rPr>
                <w:color w:val="000000"/>
                <w:kern w:val="0"/>
                <w:sz w:val="18"/>
                <w:szCs w:val="18"/>
              </w:rPr>
              <w:t>1</w:t>
            </w:r>
            <w:r>
              <w:rPr>
                <w:rFonts w:hint="eastAsia" w:hAnsi="宋体"/>
                <w:color w:val="000000"/>
                <w:kern w:val="0"/>
                <w:sz w:val="18"/>
                <w:szCs w:val="18"/>
              </w:rPr>
              <w:t>、……</w:t>
            </w:r>
            <w:r>
              <w:rPr>
                <w:rFonts w:hint="eastAsia"/>
                <w:color w:val="000000"/>
                <w:kern w:val="0"/>
                <w:sz w:val="18"/>
                <w:szCs w:val="18"/>
              </w:rPr>
              <w:t>）</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restart"/>
            <w:vAlign w:val="center"/>
          </w:tcPr>
          <w:p>
            <w:pPr>
              <w:widowControl/>
              <w:spacing w:line="260" w:lineRule="exact"/>
              <w:ind w:left="-63" w:leftChars="-30" w:right="-63" w:rightChars="-30"/>
              <w:rPr>
                <w:color w:val="000000"/>
                <w:kern w:val="0"/>
                <w:sz w:val="18"/>
                <w:szCs w:val="18"/>
              </w:rPr>
            </w:pPr>
            <w:r>
              <w:rPr>
                <w:color w:val="000000"/>
                <w:spacing w:val="-4"/>
                <w:kern w:val="0"/>
                <w:sz w:val="18"/>
                <w:szCs w:val="18"/>
              </w:rPr>
              <w:t>1</w:t>
            </w:r>
            <w:r>
              <w:rPr>
                <w:rFonts w:hint="eastAsia" w:hAnsi="宋体"/>
                <w:color w:val="000000"/>
                <w:spacing w:val="-4"/>
                <w:kern w:val="0"/>
                <w:sz w:val="18"/>
                <w:szCs w:val="18"/>
              </w:rPr>
              <w:t>、各市自主评价项的内容和评分细则由各市造价管理机构和造价协会设置；</w:t>
            </w:r>
            <w:r>
              <w:rPr>
                <w:color w:val="000000"/>
                <w:spacing w:val="-4"/>
                <w:kern w:val="0"/>
                <w:sz w:val="18"/>
                <w:szCs w:val="18"/>
              </w:rPr>
              <w:t xml:space="preserve">                    2</w:t>
            </w:r>
            <w:r>
              <w:rPr>
                <w:rFonts w:hint="eastAsia" w:hAnsi="宋体"/>
                <w:color w:val="000000"/>
                <w:spacing w:val="-4"/>
                <w:kern w:val="0"/>
                <w:sz w:val="18"/>
                <w:szCs w:val="18"/>
              </w:rPr>
              <w:t>、各市信用评价工作专家小组对自主评价项的内容给予在线评价赋分。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rFonts w:hint="eastAsia"/>
                <w:color w:val="000000"/>
                <w:kern w:val="0"/>
                <w:sz w:val="18"/>
                <w:szCs w:val="18"/>
              </w:rPr>
              <w:t>（</w:t>
            </w:r>
            <w:r>
              <w:rPr>
                <w:color w:val="000000"/>
                <w:kern w:val="0"/>
                <w:sz w:val="18"/>
                <w:szCs w:val="18"/>
              </w:rPr>
              <w:t>2</w:t>
            </w:r>
            <w:r>
              <w:rPr>
                <w:rFonts w:hint="eastAsia" w:hAnsi="宋体"/>
                <w:color w:val="000000"/>
                <w:kern w:val="0"/>
                <w:sz w:val="18"/>
                <w:szCs w:val="18"/>
              </w:rPr>
              <w:t>、……</w:t>
            </w:r>
            <w:r>
              <w:rPr>
                <w:rFonts w:hint="eastAsia"/>
                <w:color w:val="000000"/>
                <w:kern w:val="0"/>
                <w:sz w:val="18"/>
                <w:szCs w:val="18"/>
              </w:rPr>
              <w:t>）</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0" w:type="dxa"/>
            <w:vMerge w:val="continue"/>
            <w:vAlign w:val="center"/>
          </w:tcPr>
          <w:p>
            <w:pPr>
              <w:widowControl/>
              <w:jc w:val="left"/>
              <w:rPr>
                <w:color w:val="000000"/>
                <w:kern w:val="0"/>
                <w:sz w:val="18"/>
                <w:szCs w:val="18"/>
              </w:rPr>
            </w:pPr>
          </w:p>
        </w:tc>
        <w:tc>
          <w:tcPr>
            <w:tcW w:w="1173" w:type="dxa"/>
            <w:vMerge w:val="continue"/>
            <w:vAlign w:val="center"/>
          </w:tcPr>
          <w:p>
            <w:pPr>
              <w:widowControl/>
              <w:jc w:val="left"/>
              <w:rPr>
                <w:color w:val="000000"/>
                <w:kern w:val="0"/>
                <w:sz w:val="18"/>
                <w:szCs w:val="18"/>
              </w:rPr>
            </w:pPr>
          </w:p>
        </w:tc>
        <w:tc>
          <w:tcPr>
            <w:tcW w:w="6711" w:type="dxa"/>
            <w:vAlign w:val="center"/>
          </w:tcPr>
          <w:p>
            <w:pPr>
              <w:widowControl/>
              <w:jc w:val="left"/>
              <w:rPr>
                <w:color w:val="000000"/>
                <w:kern w:val="0"/>
                <w:sz w:val="18"/>
                <w:szCs w:val="18"/>
              </w:rPr>
            </w:pPr>
            <w:r>
              <w:rPr>
                <w:rFonts w:hint="eastAsia"/>
                <w:color w:val="000000"/>
                <w:kern w:val="0"/>
                <w:sz w:val="18"/>
                <w:szCs w:val="18"/>
              </w:rPr>
              <w:t>（</w:t>
            </w:r>
            <w:r>
              <w:rPr>
                <w:color w:val="000000"/>
                <w:kern w:val="0"/>
                <w:sz w:val="18"/>
                <w:szCs w:val="18"/>
              </w:rPr>
              <w:t>3</w:t>
            </w:r>
            <w:r>
              <w:rPr>
                <w:rFonts w:hint="eastAsia" w:hAnsi="宋体"/>
                <w:color w:val="000000"/>
                <w:kern w:val="0"/>
                <w:sz w:val="18"/>
                <w:szCs w:val="18"/>
              </w:rPr>
              <w:t>、……</w:t>
            </w:r>
            <w:r>
              <w:rPr>
                <w:rFonts w:hint="eastAsia"/>
                <w:color w:val="000000"/>
                <w:kern w:val="0"/>
                <w:sz w:val="18"/>
                <w:szCs w:val="18"/>
              </w:rPr>
              <w:t>）</w:t>
            </w:r>
          </w:p>
        </w:tc>
        <w:tc>
          <w:tcPr>
            <w:tcW w:w="1004" w:type="dxa"/>
            <w:vAlign w:val="center"/>
          </w:tcPr>
          <w:p>
            <w:pPr>
              <w:widowControl/>
              <w:jc w:val="center"/>
              <w:rPr>
                <w:color w:val="000000"/>
                <w:kern w:val="0"/>
                <w:sz w:val="18"/>
                <w:szCs w:val="18"/>
              </w:rPr>
            </w:pPr>
          </w:p>
        </w:tc>
        <w:tc>
          <w:tcPr>
            <w:tcW w:w="1043" w:type="dxa"/>
            <w:noWrap/>
            <w:vAlign w:val="center"/>
          </w:tcPr>
          <w:p>
            <w:pPr>
              <w:widowControl/>
              <w:jc w:val="center"/>
              <w:rPr>
                <w:color w:val="000000"/>
                <w:kern w:val="0"/>
                <w:sz w:val="18"/>
                <w:szCs w:val="18"/>
              </w:rPr>
            </w:pPr>
          </w:p>
        </w:tc>
        <w:tc>
          <w:tcPr>
            <w:tcW w:w="3120" w:type="dxa"/>
            <w:vMerge w:val="continue"/>
            <w:vAlign w:val="center"/>
          </w:tcPr>
          <w:p>
            <w:pPr>
              <w:widowControl/>
              <w:jc w:val="left"/>
              <w:rPr>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684" w:type="dxa"/>
            <w:gridSpan w:val="3"/>
            <w:tcBorders>
              <w:bottom w:val="single" w:color="auto" w:sz="8" w:space="0"/>
            </w:tcBorders>
            <w:noWrap/>
            <w:vAlign w:val="center"/>
          </w:tcPr>
          <w:p>
            <w:pPr>
              <w:widowControl/>
              <w:jc w:val="center"/>
              <w:rPr>
                <w:b/>
                <w:color w:val="000000"/>
                <w:kern w:val="0"/>
                <w:sz w:val="18"/>
                <w:szCs w:val="18"/>
              </w:rPr>
            </w:pPr>
            <w:r>
              <w:rPr>
                <w:rFonts w:hint="eastAsia" w:hAnsi="宋体"/>
                <w:b/>
                <w:color w:val="000000"/>
                <w:kern w:val="0"/>
                <w:sz w:val="18"/>
                <w:szCs w:val="18"/>
              </w:rPr>
              <w:t>评</w:t>
            </w:r>
            <w:r>
              <w:rPr>
                <w:b/>
                <w:color w:val="000000"/>
                <w:kern w:val="0"/>
                <w:sz w:val="18"/>
                <w:szCs w:val="18"/>
              </w:rPr>
              <w:t xml:space="preserve">  </w:t>
            </w:r>
            <w:r>
              <w:rPr>
                <w:rFonts w:hint="eastAsia" w:hAnsi="宋体"/>
                <w:b/>
                <w:color w:val="000000"/>
                <w:kern w:val="0"/>
                <w:sz w:val="18"/>
                <w:szCs w:val="18"/>
              </w:rPr>
              <w:t>价</w:t>
            </w:r>
            <w:r>
              <w:rPr>
                <w:b/>
                <w:color w:val="000000"/>
                <w:kern w:val="0"/>
                <w:sz w:val="18"/>
                <w:szCs w:val="18"/>
              </w:rPr>
              <w:t xml:space="preserve">  </w:t>
            </w:r>
            <w:r>
              <w:rPr>
                <w:rFonts w:hint="eastAsia" w:hAnsi="宋体"/>
                <w:b/>
                <w:color w:val="000000"/>
                <w:kern w:val="0"/>
                <w:sz w:val="18"/>
                <w:szCs w:val="18"/>
              </w:rPr>
              <w:t>得</w:t>
            </w:r>
            <w:r>
              <w:rPr>
                <w:b/>
                <w:color w:val="000000"/>
                <w:kern w:val="0"/>
                <w:sz w:val="18"/>
                <w:szCs w:val="18"/>
              </w:rPr>
              <w:t xml:space="preserve">  </w:t>
            </w:r>
            <w:r>
              <w:rPr>
                <w:rFonts w:hint="eastAsia" w:hAnsi="宋体"/>
                <w:b/>
                <w:color w:val="000000"/>
                <w:kern w:val="0"/>
                <w:sz w:val="18"/>
                <w:szCs w:val="18"/>
              </w:rPr>
              <w:t>分</w:t>
            </w:r>
            <w:r>
              <w:rPr>
                <w:b/>
                <w:color w:val="000000"/>
                <w:kern w:val="0"/>
                <w:sz w:val="18"/>
                <w:szCs w:val="18"/>
              </w:rPr>
              <w:t xml:space="preserve">  </w:t>
            </w:r>
            <w:r>
              <w:rPr>
                <w:rFonts w:hint="eastAsia" w:hAnsi="宋体"/>
                <w:b/>
                <w:color w:val="000000"/>
                <w:kern w:val="0"/>
                <w:sz w:val="18"/>
                <w:szCs w:val="18"/>
              </w:rPr>
              <w:t>合</w:t>
            </w:r>
            <w:r>
              <w:rPr>
                <w:b/>
                <w:color w:val="000000"/>
                <w:kern w:val="0"/>
                <w:sz w:val="18"/>
                <w:szCs w:val="18"/>
              </w:rPr>
              <w:t xml:space="preserve">  </w:t>
            </w:r>
            <w:r>
              <w:rPr>
                <w:rFonts w:hint="eastAsia" w:hAnsi="宋体"/>
                <w:b/>
                <w:color w:val="000000"/>
                <w:kern w:val="0"/>
                <w:sz w:val="18"/>
                <w:szCs w:val="18"/>
              </w:rPr>
              <w:t>计</w:t>
            </w:r>
          </w:p>
        </w:tc>
        <w:tc>
          <w:tcPr>
            <w:tcW w:w="1004" w:type="dxa"/>
            <w:tcBorders>
              <w:bottom w:val="single" w:color="auto" w:sz="8" w:space="0"/>
            </w:tcBorders>
            <w:noWrap/>
            <w:vAlign w:val="center"/>
          </w:tcPr>
          <w:p>
            <w:pPr>
              <w:widowControl/>
              <w:jc w:val="center"/>
              <w:rPr>
                <w:color w:val="000000"/>
                <w:kern w:val="0"/>
                <w:sz w:val="18"/>
                <w:szCs w:val="18"/>
              </w:rPr>
            </w:pPr>
          </w:p>
        </w:tc>
        <w:tc>
          <w:tcPr>
            <w:tcW w:w="1043" w:type="dxa"/>
            <w:tcBorders>
              <w:bottom w:val="single" w:color="auto" w:sz="8" w:space="0"/>
            </w:tcBorders>
            <w:noWrap/>
            <w:vAlign w:val="center"/>
          </w:tcPr>
          <w:p>
            <w:pPr>
              <w:widowControl/>
              <w:jc w:val="center"/>
              <w:rPr>
                <w:color w:val="000000"/>
                <w:kern w:val="0"/>
                <w:sz w:val="18"/>
                <w:szCs w:val="18"/>
              </w:rPr>
            </w:pPr>
          </w:p>
        </w:tc>
        <w:tc>
          <w:tcPr>
            <w:tcW w:w="3120" w:type="dxa"/>
            <w:tcBorders>
              <w:bottom w:val="single" w:color="auto" w:sz="8" w:space="0"/>
            </w:tcBorders>
            <w:noWrap/>
            <w:vAlign w:val="center"/>
          </w:tcPr>
          <w:p>
            <w:pPr>
              <w:widowControl/>
              <w:jc w:val="left"/>
              <w:rPr>
                <w:color w:val="000000"/>
                <w:kern w:val="0"/>
                <w:sz w:val="18"/>
                <w:szCs w:val="18"/>
              </w:rPr>
            </w:pPr>
            <w:r>
              <w:rPr>
                <w:rFonts w:hint="eastAsia" w:hAnsi="宋体"/>
                <w:color w:val="000000"/>
                <w:kern w:val="0"/>
                <w:sz w:val="18"/>
                <w:szCs w:val="18"/>
              </w:rPr>
              <w:t>　</w:t>
            </w:r>
          </w:p>
        </w:tc>
      </w:tr>
    </w:tbl>
    <w:p>
      <w:pPr>
        <w:rPr>
          <w:color w:val="000000"/>
        </w:rPr>
      </w:pPr>
    </w:p>
    <w:p>
      <w:pPr>
        <w:rPr>
          <w:color w:val="000000"/>
          <w:sz w:val="18"/>
          <w:szCs w:val="18"/>
        </w:rPr>
      </w:pPr>
      <w:r>
        <w:rPr>
          <w:rFonts w:hint="eastAsia"/>
          <w:color w:val="000000"/>
          <w:sz w:val="18"/>
          <w:szCs w:val="18"/>
        </w:rPr>
        <w:t>备注：</w:t>
      </w:r>
      <w:r>
        <w:rPr>
          <w:color w:val="000000"/>
          <w:sz w:val="18"/>
          <w:szCs w:val="18"/>
        </w:rPr>
        <w:t>1</w:t>
      </w:r>
      <w:r>
        <w:rPr>
          <w:rFonts w:hint="eastAsia"/>
          <w:color w:val="000000"/>
          <w:sz w:val="18"/>
          <w:szCs w:val="18"/>
        </w:rPr>
        <w:t>、“评价得分”由信用评价造价小组在线给予赋分，并按四舍五入保留小数点两位处理。</w:t>
      </w:r>
    </w:p>
    <w:p>
      <w:pPr>
        <w:ind w:firstLine="543" w:firstLineChars="302"/>
        <w:rPr>
          <w:color w:val="000000"/>
          <w:sz w:val="18"/>
          <w:szCs w:val="18"/>
        </w:rPr>
      </w:pPr>
      <w:r>
        <w:rPr>
          <w:color w:val="000000"/>
          <w:sz w:val="18"/>
          <w:szCs w:val="18"/>
        </w:rPr>
        <w:t>2</w:t>
      </w:r>
      <w:r>
        <w:rPr>
          <w:rFonts w:hint="eastAsia"/>
          <w:color w:val="000000"/>
          <w:sz w:val="18"/>
          <w:szCs w:val="18"/>
        </w:rPr>
        <w:t>、“各市自主评价项”用于调节各市之间的差别化管理，各市可根据需要自行设置评价内容，并在全市范围内统一实行。</w:t>
      </w:r>
      <w:r>
        <w:rPr>
          <w:color w:val="000000"/>
          <w:sz w:val="18"/>
          <w:szCs w:val="18"/>
        </w:rPr>
        <w:t xml:space="preserve"> </w:t>
      </w:r>
    </w:p>
    <w:p>
      <w:pPr>
        <w:ind w:firstLine="543" w:firstLineChars="302"/>
        <w:rPr>
          <w:color w:val="000000"/>
          <w:sz w:val="18"/>
          <w:szCs w:val="18"/>
        </w:rPr>
      </w:pPr>
      <w:r>
        <w:rPr>
          <w:color w:val="000000"/>
          <w:sz w:val="18"/>
          <w:szCs w:val="18"/>
        </w:rPr>
        <w:t>3</w:t>
      </w:r>
      <w:r>
        <w:rPr>
          <w:rFonts w:hint="eastAsia"/>
          <w:color w:val="000000"/>
          <w:sz w:val="18"/>
          <w:szCs w:val="18"/>
        </w:rPr>
        <w:t>、各市设置“自主评价项”，应同时规定相应的“不良行为评分细则”和“减分分值”。</w:t>
      </w:r>
      <w:bookmarkEnd w:id="0"/>
    </w:p>
    <w:p>
      <w:pPr>
        <w:ind w:firstLine="543" w:firstLineChars="302"/>
        <w:rPr>
          <w:color w:val="000000"/>
          <w:sz w:val="18"/>
          <w:szCs w:val="18"/>
        </w:rPr>
      </w:pPr>
      <w:r>
        <w:rPr>
          <w:color w:val="000000"/>
          <w:sz w:val="18"/>
          <w:szCs w:val="18"/>
        </w:rPr>
        <w:t>4</w:t>
      </w:r>
      <w:r>
        <w:rPr>
          <w:rFonts w:hint="eastAsia"/>
          <w:color w:val="000000"/>
          <w:sz w:val="18"/>
          <w:szCs w:val="18"/>
        </w:rPr>
        <w:t>、“评价得分合计”不设限额。“评价得分合计”分值移入附表</w:t>
      </w:r>
      <w:r>
        <w:rPr>
          <w:color w:val="000000"/>
          <w:sz w:val="18"/>
          <w:szCs w:val="18"/>
        </w:rPr>
        <w:t>2</w:t>
      </w:r>
      <w:r>
        <w:rPr>
          <w:rFonts w:hint="eastAsia"/>
          <w:color w:val="000000"/>
          <w:sz w:val="18"/>
          <w:szCs w:val="18"/>
        </w:rPr>
        <w:t>“不良行为记录”，给予汇总处理。</w:t>
      </w:r>
    </w:p>
    <w:p>
      <w:pPr>
        <w:ind w:firstLine="543" w:firstLineChars="302"/>
        <w:rPr>
          <w:sz w:val="18"/>
          <w:szCs w:val="18"/>
        </w:rPr>
      </w:pPr>
    </w:p>
    <w:sectPr>
      <w:pgSz w:w="16838" w:h="11906" w:orient="landscape"/>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280"/>
      <w:jc w:val="right"/>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19</w:t>
    </w:r>
    <w:r>
      <w:rPr>
        <w:rStyle w:val="9"/>
        <w:sz w:val="28"/>
        <w:szCs w:val="28"/>
      </w:rPr>
      <w:fldChar w:fldCharType="end"/>
    </w:r>
    <w:r>
      <w:rPr>
        <w:rStyle w:val="9"/>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280" w:firstLineChars="10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18</w:t>
    </w:r>
    <w:r>
      <w:rPr>
        <w:rStyle w:val="9"/>
        <w:sz w:val="28"/>
        <w:szCs w:val="28"/>
      </w:rPr>
      <w:fldChar w:fldCharType="end"/>
    </w:r>
    <w:r>
      <w:rPr>
        <w:rStyle w:val="9"/>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E2785"/>
    <w:multiLevelType w:val="singleLevel"/>
    <w:tmpl w:val="7D3E2785"/>
    <w:lvl w:ilvl="0" w:tentative="0">
      <w:start w:val="5"/>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2"/>
  <w:drawingGridVerticalSpacing w:val="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86"/>
    <w:rsid w:val="00012885"/>
    <w:rsid w:val="0001717C"/>
    <w:rsid w:val="00035F6C"/>
    <w:rsid w:val="0003611C"/>
    <w:rsid w:val="00055792"/>
    <w:rsid w:val="00067FD3"/>
    <w:rsid w:val="0007341B"/>
    <w:rsid w:val="00073C39"/>
    <w:rsid w:val="000746B5"/>
    <w:rsid w:val="00083A9A"/>
    <w:rsid w:val="0008619A"/>
    <w:rsid w:val="0009522A"/>
    <w:rsid w:val="000D7C1C"/>
    <w:rsid w:val="000F20F3"/>
    <w:rsid w:val="00103AC7"/>
    <w:rsid w:val="001065DF"/>
    <w:rsid w:val="00142139"/>
    <w:rsid w:val="00145BE0"/>
    <w:rsid w:val="001660C7"/>
    <w:rsid w:val="00180C0F"/>
    <w:rsid w:val="001A4867"/>
    <w:rsid w:val="00242B40"/>
    <w:rsid w:val="00276058"/>
    <w:rsid w:val="002866AB"/>
    <w:rsid w:val="002C59AA"/>
    <w:rsid w:val="002C7B2A"/>
    <w:rsid w:val="002D6FAE"/>
    <w:rsid w:val="002E21B7"/>
    <w:rsid w:val="002F7098"/>
    <w:rsid w:val="0031036F"/>
    <w:rsid w:val="00315779"/>
    <w:rsid w:val="003310C1"/>
    <w:rsid w:val="00340F0A"/>
    <w:rsid w:val="00341BA4"/>
    <w:rsid w:val="00346ED0"/>
    <w:rsid w:val="003531E1"/>
    <w:rsid w:val="003631F9"/>
    <w:rsid w:val="00367504"/>
    <w:rsid w:val="00374420"/>
    <w:rsid w:val="00381567"/>
    <w:rsid w:val="00391ADB"/>
    <w:rsid w:val="003A598C"/>
    <w:rsid w:val="003B334F"/>
    <w:rsid w:val="003E0A08"/>
    <w:rsid w:val="003F3E28"/>
    <w:rsid w:val="00413258"/>
    <w:rsid w:val="00427FE7"/>
    <w:rsid w:val="0043779E"/>
    <w:rsid w:val="004728BC"/>
    <w:rsid w:val="00476147"/>
    <w:rsid w:val="0048605E"/>
    <w:rsid w:val="0049596E"/>
    <w:rsid w:val="004E7CEB"/>
    <w:rsid w:val="004F4F6E"/>
    <w:rsid w:val="00500C9A"/>
    <w:rsid w:val="00505876"/>
    <w:rsid w:val="0051759A"/>
    <w:rsid w:val="005266B8"/>
    <w:rsid w:val="005456EC"/>
    <w:rsid w:val="005466A1"/>
    <w:rsid w:val="0055305D"/>
    <w:rsid w:val="00564345"/>
    <w:rsid w:val="00570036"/>
    <w:rsid w:val="005A3BF9"/>
    <w:rsid w:val="005A4D04"/>
    <w:rsid w:val="005E0B1A"/>
    <w:rsid w:val="00617169"/>
    <w:rsid w:val="00617E13"/>
    <w:rsid w:val="00625B06"/>
    <w:rsid w:val="006519B6"/>
    <w:rsid w:val="00670704"/>
    <w:rsid w:val="0067476D"/>
    <w:rsid w:val="006A1F18"/>
    <w:rsid w:val="006A3D71"/>
    <w:rsid w:val="006C21BB"/>
    <w:rsid w:val="006C7BFC"/>
    <w:rsid w:val="006D2B35"/>
    <w:rsid w:val="006D2E78"/>
    <w:rsid w:val="006E65CA"/>
    <w:rsid w:val="00704180"/>
    <w:rsid w:val="0071747D"/>
    <w:rsid w:val="00720596"/>
    <w:rsid w:val="00740AC8"/>
    <w:rsid w:val="0075104A"/>
    <w:rsid w:val="00766ECD"/>
    <w:rsid w:val="0078555B"/>
    <w:rsid w:val="0078768F"/>
    <w:rsid w:val="007B584B"/>
    <w:rsid w:val="007C5671"/>
    <w:rsid w:val="007C64AA"/>
    <w:rsid w:val="007D4357"/>
    <w:rsid w:val="007E1072"/>
    <w:rsid w:val="00817A4B"/>
    <w:rsid w:val="00822A2D"/>
    <w:rsid w:val="00826EF2"/>
    <w:rsid w:val="008439DD"/>
    <w:rsid w:val="00856066"/>
    <w:rsid w:val="008A08DC"/>
    <w:rsid w:val="008A4E2E"/>
    <w:rsid w:val="008A785B"/>
    <w:rsid w:val="008E4B1D"/>
    <w:rsid w:val="008F18C3"/>
    <w:rsid w:val="008F4EE5"/>
    <w:rsid w:val="00912983"/>
    <w:rsid w:val="009169F7"/>
    <w:rsid w:val="00923109"/>
    <w:rsid w:val="00932490"/>
    <w:rsid w:val="00974CF4"/>
    <w:rsid w:val="00982ABF"/>
    <w:rsid w:val="00983F82"/>
    <w:rsid w:val="00996909"/>
    <w:rsid w:val="009C5E58"/>
    <w:rsid w:val="009F1E29"/>
    <w:rsid w:val="009F2596"/>
    <w:rsid w:val="009F6DD6"/>
    <w:rsid w:val="00A15B19"/>
    <w:rsid w:val="00A262F8"/>
    <w:rsid w:val="00A36D5A"/>
    <w:rsid w:val="00A5278D"/>
    <w:rsid w:val="00A559BE"/>
    <w:rsid w:val="00A63C19"/>
    <w:rsid w:val="00A73BEA"/>
    <w:rsid w:val="00A86DEA"/>
    <w:rsid w:val="00A91ED0"/>
    <w:rsid w:val="00AA6E06"/>
    <w:rsid w:val="00AB117A"/>
    <w:rsid w:val="00AC48A4"/>
    <w:rsid w:val="00AE4EDB"/>
    <w:rsid w:val="00AF555F"/>
    <w:rsid w:val="00AF5A8D"/>
    <w:rsid w:val="00AF5BC8"/>
    <w:rsid w:val="00B024E0"/>
    <w:rsid w:val="00B2069E"/>
    <w:rsid w:val="00B2151C"/>
    <w:rsid w:val="00B31119"/>
    <w:rsid w:val="00B43E22"/>
    <w:rsid w:val="00B5130C"/>
    <w:rsid w:val="00B54D59"/>
    <w:rsid w:val="00B72E06"/>
    <w:rsid w:val="00B85388"/>
    <w:rsid w:val="00BB3C45"/>
    <w:rsid w:val="00BD3EF0"/>
    <w:rsid w:val="00BD4F09"/>
    <w:rsid w:val="00BD76C9"/>
    <w:rsid w:val="00BE4E0B"/>
    <w:rsid w:val="00BE67D0"/>
    <w:rsid w:val="00C32BD9"/>
    <w:rsid w:val="00C403B7"/>
    <w:rsid w:val="00C40F45"/>
    <w:rsid w:val="00C4273D"/>
    <w:rsid w:val="00C66023"/>
    <w:rsid w:val="00C66CF8"/>
    <w:rsid w:val="00C66EE8"/>
    <w:rsid w:val="00C67726"/>
    <w:rsid w:val="00C76FB0"/>
    <w:rsid w:val="00C850BF"/>
    <w:rsid w:val="00CA4058"/>
    <w:rsid w:val="00CC067D"/>
    <w:rsid w:val="00CC6D6D"/>
    <w:rsid w:val="00CC7241"/>
    <w:rsid w:val="00CD07C1"/>
    <w:rsid w:val="00D126A2"/>
    <w:rsid w:val="00D27499"/>
    <w:rsid w:val="00D30130"/>
    <w:rsid w:val="00D52405"/>
    <w:rsid w:val="00D53A36"/>
    <w:rsid w:val="00D60F73"/>
    <w:rsid w:val="00D67396"/>
    <w:rsid w:val="00D83276"/>
    <w:rsid w:val="00D96557"/>
    <w:rsid w:val="00DA1C7A"/>
    <w:rsid w:val="00DA6B0F"/>
    <w:rsid w:val="00DA7464"/>
    <w:rsid w:val="00DB5589"/>
    <w:rsid w:val="00DB7B39"/>
    <w:rsid w:val="00DC3C8E"/>
    <w:rsid w:val="00DE175C"/>
    <w:rsid w:val="00DF6023"/>
    <w:rsid w:val="00E06480"/>
    <w:rsid w:val="00E26B29"/>
    <w:rsid w:val="00E27986"/>
    <w:rsid w:val="00E4185D"/>
    <w:rsid w:val="00E6043E"/>
    <w:rsid w:val="00E711C3"/>
    <w:rsid w:val="00EA6AE0"/>
    <w:rsid w:val="00EB0178"/>
    <w:rsid w:val="00EB068F"/>
    <w:rsid w:val="00EB1952"/>
    <w:rsid w:val="00EF6CD3"/>
    <w:rsid w:val="00EF7BB9"/>
    <w:rsid w:val="00F01B1A"/>
    <w:rsid w:val="00F01D85"/>
    <w:rsid w:val="00F14226"/>
    <w:rsid w:val="00F14B6C"/>
    <w:rsid w:val="00F16287"/>
    <w:rsid w:val="00F26432"/>
    <w:rsid w:val="00F26F51"/>
    <w:rsid w:val="00F30D5B"/>
    <w:rsid w:val="00F33432"/>
    <w:rsid w:val="00F35D1C"/>
    <w:rsid w:val="00F415AD"/>
    <w:rsid w:val="00F4564E"/>
    <w:rsid w:val="00F5304A"/>
    <w:rsid w:val="00F54659"/>
    <w:rsid w:val="00F62E00"/>
    <w:rsid w:val="00F81B9E"/>
    <w:rsid w:val="00F8244A"/>
    <w:rsid w:val="00F97441"/>
    <w:rsid w:val="00FB5B26"/>
    <w:rsid w:val="00FD51DD"/>
    <w:rsid w:val="01234F49"/>
    <w:rsid w:val="01454CB4"/>
    <w:rsid w:val="014C07A5"/>
    <w:rsid w:val="018E0E09"/>
    <w:rsid w:val="02D21CC6"/>
    <w:rsid w:val="02E274FB"/>
    <w:rsid w:val="04E93778"/>
    <w:rsid w:val="06FA0B85"/>
    <w:rsid w:val="072A3ABE"/>
    <w:rsid w:val="077F39B5"/>
    <w:rsid w:val="08690B13"/>
    <w:rsid w:val="0A061E49"/>
    <w:rsid w:val="0BEB4D14"/>
    <w:rsid w:val="0C1B7886"/>
    <w:rsid w:val="0C61005A"/>
    <w:rsid w:val="0DC2606D"/>
    <w:rsid w:val="0E201A0A"/>
    <w:rsid w:val="0E220EAD"/>
    <w:rsid w:val="0E317550"/>
    <w:rsid w:val="0E7A0E09"/>
    <w:rsid w:val="0F265843"/>
    <w:rsid w:val="0F3453BD"/>
    <w:rsid w:val="0F851741"/>
    <w:rsid w:val="0F8D10BF"/>
    <w:rsid w:val="0FD176B5"/>
    <w:rsid w:val="0FEE6B4A"/>
    <w:rsid w:val="10970CC1"/>
    <w:rsid w:val="1101566D"/>
    <w:rsid w:val="1182712A"/>
    <w:rsid w:val="11957B14"/>
    <w:rsid w:val="1212510C"/>
    <w:rsid w:val="122D5C40"/>
    <w:rsid w:val="12BC1964"/>
    <w:rsid w:val="130B2581"/>
    <w:rsid w:val="13336ECB"/>
    <w:rsid w:val="14872B2A"/>
    <w:rsid w:val="168C319B"/>
    <w:rsid w:val="18231D2A"/>
    <w:rsid w:val="185953DA"/>
    <w:rsid w:val="186F646D"/>
    <w:rsid w:val="18714FB2"/>
    <w:rsid w:val="1D0D0FFD"/>
    <w:rsid w:val="1DCC039A"/>
    <w:rsid w:val="1E0A527D"/>
    <w:rsid w:val="1E0C246A"/>
    <w:rsid w:val="20A65124"/>
    <w:rsid w:val="21DF7BAB"/>
    <w:rsid w:val="21FE4BAB"/>
    <w:rsid w:val="232E703D"/>
    <w:rsid w:val="24414F16"/>
    <w:rsid w:val="25A562CC"/>
    <w:rsid w:val="29464CEE"/>
    <w:rsid w:val="2C820B6C"/>
    <w:rsid w:val="2CAF7B37"/>
    <w:rsid w:val="2DC476E2"/>
    <w:rsid w:val="2E4A0440"/>
    <w:rsid w:val="2EEB0568"/>
    <w:rsid w:val="2F920C42"/>
    <w:rsid w:val="30032BC8"/>
    <w:rsid w:val="310A1853"/>
    <w:rsid w:val="31360291"/>
    <w:rsid w:val="31407DFD"/>
    <w:rsid w:val="314200EF"/>
    <w:rsid w:val="336C0E56"/>
    <w:rsid w:val="33B261DD"/>
    <w:rsid w:val="343F78A7"/>
    <w:rsid w:val="348740BF"/>
    <w:rsid w:val="35540165"/>
    <w:rsid w:val="3579221C"/>
    <w:rsid w:val="35D73F8D"/>
    <w:rsid w:val="36686652"/>
    <w:rsid w:val="36CE2685"/>
    <w:rsid w:val="372621F8"/>
    <w:rsid w:val="38D07835"/>
    <w:rsid w:val="3A581455"/>
    <w:rsid w:val="3AAA2767"/>
    <w:rsid w:val="3AF467D0"/>
    <w:rsid w:val="3B2A77C0"/>
    <w:rsid w:val="3B9C6DD6"/>
    <w:rsid w:val="3CA155C2"/>
    <w:rsid w:val="3CB47D78"/>
    <w:rsid w:val="3CF92E86"/>
    <w:rsid w:val="3DE862FE"/>
    <w:rsid w:val="3E136595"/>
    <w:rsid w:val="3F5B01ED"/>
    <w:rsid w:val="3FDA4326"/>
    <w:rsid w:val="425F4403"/>
    <w:rsid w:val="427809FE"/>
    <w:rsid w:val="431F0A9A"/>
    <w:rsid w:val="43E96743"/>
    <w:rsid w:val="43FC5B19"/>
    <w:rsid w:val="449377CA"/>
    <w:rsid w:val="458D77A6"/>
    <w:rsid w:val="45934144"/>
    <w:rsid w:val="4725104C"/>
    <w:rsid w:val="47DC43A3"/>
    <w:rsid w:val="4889539A"/>
    <w:rsid w:val="488A5F3E"/>
    <w:rsid w:val="4ABC4558"/>
    <w:rsid w:val="4AC35048"/>
    <w:rsid w:val="4B5E3516"/>
    <w:rsid w:val="4B9D067A"/>
    <w:rsid w:val="4BD44752"/>
    <w:rsid w:val="4BFF2FE5"/>
    <w:rsid w:val="4C567184"/>
    <w:rsid w:val="4DF53CAC"/>
    <w:rsid w:val="4EAC78A6"/>
    <w:rsid w:val="4F13676F"/>
    <w:rsid w:val="4FFA168B"/>
    <w:rsid w:val="505615DA"/>
    <w:rsid w:val="50A42696"/>
    <w:rsid w:val="5166526C"/>
    <w:rsid w:val="51926EC3"/>
    <w:rsid w:val="51D0322A"/>
    <w:rsid w:val="51FB6A54"/>
    <w:rsid w:val="523210C5"/>
    <w:rsid w:val="52CF01ED"/>
    <w:rsid w:val="54DF0F56"/>
    <w:rsid w:val="551E21CB"/>
    <w:rsid w:val="566A5531"/>
    <w:rsid w:val="58DD5071"/>
    <w:rsid w:val="58EE0439"/>
    <w:rsid w:val="59B65427"/>
    <w:rsid w:val="5B3A4ED5"/>
    <w:rsid w:val="5C6B64A5"/>
    <w:rsid w:val="5CA35953"/>
    <w:rsid w:val="5D290669"/>
    <w:rsid w:val="5E7F366F"/>
    <w:rsid w:val="5FBD05CC"/>
    <w:rsid w:val="5FD86D7F"/>
    <w:rsid w:val="605B3781"/>
    <w:rsid w:val="61222BB7"/>
    <w:rsid w:val="62937381"/>
    <w:rsid w:val="63F73192"/>
    <w:rsid w:val="65C729F9"/>
    <w:rsid w:val="65E54E3E"/>
    <w:rsid w:val="67046AC1"/>
    <w:rsid w:val="67311C03"/>
    <w:rsid w:val="69590AD1"/>
    <w:rsid w:val="6AB7797E"/>
    <w:rsid w:val="6BE34BD8"/>
    <w:rsid w:val="6C236F69"/>
    <w:rsid w:val="6C3F1CF1"/>
    <w:rsid w:val="6CCF405C"/>
    <w:rsid w:val="6CE66FC3"/>
    <w:rsid w:val="6DD14F89"/>
    <w:rsid w:val="6F590C85"/>
    <w:rsid w:val="6FC567F3"/>
    <w:rsid w:val="70064A07"/>
    <w:rsid w:val="72583B93"/>
    <w:rsid w:val="727E7116"/>
    <w:rsid w:val="72A67580"/>
    <w:rsid w:val="72FD6689"/>
    <w:rsid w:val="73E0510A"/>
    <w:rsid w:val="74F27771"/>
    <w:rsid w:val="773A6CD7"/>
    <w:rsid w:val="77AB49CF"/>
    <w:rsid w:val="77CA226A"/>
    <w:rsid w:val="77D31D8E"/>
    <w:rsid w:val="7828459A"/>
    <w:rsid w:val="783A2F62"/>
    <w:rsid w:val="78581D46"/>
    <w:rsid w:val="786F348E"/>
    <w:rsid w:val="78CE0955"/>
    <w:rsid w:val="79E03E6D"/>
    <w:rsid w:val="7AB44945"/>
    <w:rsid w:val="7C0C3D8D"/>
    <w:rsid w:val="7C664E40"/>
    <w:rsid w:val="7DEC71A0"/>
    <w:rsid w:val="7F6D584E"/>
    <w:rsid w:val="7F8C484B"/>
    <w:rsid w:val="7FB11B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9"/>
    <w:pPr>
      <w:spacing w:beforeLines="50" w:afterLines="50"/>
      <w:outlineLvl w:val="1"/>
    </w:pPr>
    <w:rPr>
      <w:b/>
      <w:sz w:val="30"/>
      <w:szCs w:val="30"/>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semiHidden/>
    <w:qFormat/>
    <w:uiPriority w:val="99"/>
    <w:pPr>
      <w:jc w:val="left"/>
    </w:pPr>
  </w:style>
  <w:style w:type="paragraph" w:styleId="4">
    <w:name w:val="Balloon Text"/>
    <w:basedOn w:val="1"/>
    <w:link w:val="13"/>
    <w:qFormat/>
    <w:uiPriority w:val="99"/>
    <w:rPr>
      <w:sz w:val="18"/>
      <w:szCs w:val="18"/>
    </w:rPr>
  </w:style>
  <w:style w:type="paragraph" w:styleId="5">
    <w:name w:val="footer"/>
    <w:basedOn w:val="1"/>
    <w:link w:val="14"/>
    <w:uiPriority w:val="99"/>
    <w:pPr>
      <w:tabs>
        <w:tab w:val="center" w:pos="4153"/>
        <w:tab w:val="right" w:pos="8306"/>
      </w:tabs>
      <w:snapToGrid w:val="0"/>
      <w:spacing w:line="240" w:lineRule="atLeast"/>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9">
    <w:name w:val="page number"/>
    <w:basedOn w:val="8"/>
    <w:uiPriority w:val="99"/>
    <w:rPr>
      <w:rFonts w:cs="Times New Roman"/>
    </w:rPr>
  </w:style>
  <w:style w:type="character" w:styleId="10">
    <w:name w:val="annotation reference"/>
    <w:basedOn w:val="8"/>
    <w:semiHidden/>
    <w:uiPriority w:val="99"/>
    <w:rPr>
      <w:rFonts w:cs="Times New Roman"/>
      <w:sz w:val="21"/>
      <w:szCs w:val="21"/>
    </w:rPr>
  </w:style>
  <w:style w:type="character" w:customStyle="1" w:styleId="11">
    <w:name w:val="Heading 2 Char"/>
    <w:basedOn w:val="8"/>
    <w:link w:val="2"/>
    <w:semiHidden/>
    <w:locked/>
    <w:uiPriority w:val="99"/>
    <w:rPr>
      <w:rFonts w:ascii="Cambria" w:hAnsi="Cambria" w:eastAsia="宋体" w:cs="Times New Roman"/>
      <w:b/>
      <w:bCs/>
      <w:sz w:val="32"/>
      <w:szCs w:val="32"/>
    </w:rPr>
  </w:style>
  <w:style w:type="character" w:customStyle="1" w:styleId="12">
    <w:name w:val="Comment Text Char"/>
    <w:basedOn w:val="8"/>
    <w:link w:val="3"/>
    <w:semiHidden/>
    <w:qFormat/>
    <w:locked/>
    <w:uiPriority w:val="99"/>
    <w:rPr>
      <w:rFonts w:cs="Times New Roman"/>
      <w:sz w:val="24"/>
      <w:szCs w:val="24"/>
    </w:rPr>
  </w:style>
  <w:style w:type="character" w:customStyle="1" w:styleId="13">
    <w:name w:val="Balloon Text Char"/>
    <w:basedOn w:val="8"/>
    <w:link w:val="4"/>
    <w:semiHidden/>
    <w:locked/>
    <w:uiPriority w:val="99"/>
    <w:rPr>
      <w:rFonts w:ascii="Times New Roman" w:hAnsi="Times New Roman" w:eastAsia="宋体" w:cs="Times New Roman"/>
      <w:kern w:val="2"/>
      <w:sz w:val="18"/>
      <w:szCs w:val="18"/>
    </w:rPr>
  </w:style>
  <w:style w:type="character" w:customStyle="1" w:styleId="14">
    <w:name w:val="Footer Char"/>
    <w:basedOn w:val="8"/>
    <w:link w:val="5"/>
    <w:semiHidden/>
    <w:locked/>
    <w:uiPriority w:val="99"/>
    <w:rPr>
      <w:rFonts w:cs="Times New Roman"/>
      <w:sz w:val="18"/>
      <w:szCs w:val="18"/>
    </w:rPr>
  </w:style>
  <w:style w:type="character" w:customStyle="1" w:styleId="15">
    <w:name w:val="Header Char"/>
    <w:basedOn w:val="8"/>
    <w:link w:val="6"/>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32</Pages>
  <Words>4596</Words>
  <Characters>26201</Characters>
  <Lines>0</Lines>
  <Paragraphs>0</Paragraphs>
  <TotalTime>18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2020-09-01T02:29:00Z</dcterms:created>
  <dc:creator>mw</dc:creator>
  <cp:lastModifiedBy>上弦月月</cp:lastModifiedBy>
  <cp:lastPrinted>2020-09-09T07:57:00Z</cp:lastPrinted>
  <dcterms:modified xsi:type="dcterms:W3CDTF">2020-09-16T02:19:09Z</dcterms:modified>
  <dc:title>苏建价协（2020）4号</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